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Approvvigionamenti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delle gare e degli appalti per procedure di acquisizione di beni e servizi necessari all'Ente ( es. pulizie, arredi) mediante procedure di evidenza pubblica e affidamenti diretti con unico fornitore nei casi consentiti; dalla fase istruttoria (Determine di indizione procedura, nomina Commissione di Gara, verbali di Commissione etc.) all'aggiudicazione finale, verificando la documentazione prodotta, predisponendo le comunicazioni necessarie a garantire i principi di trasparenza, pubblicita' ed informazione ai concorrenti e predisponendo le comunicazioni di esclusione di richiesta integrazione documentazione, la determina di aggiudicazione o annullamento.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cancelleria ed altro materiale di consumo per 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arredi e attrezzature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arredi e attrezzature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Consegne materiali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Carico magazzino beni di facile consumo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servizi di pulizia uffici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vestiario e calzature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