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9DA" w:rsidRPr="00632A65" w:rsidRDefault="004F39DA" w:rsidP="003D76D9">
      <w:pPr>
        <w:pStyle w:val="Title"/>
        <w:rPr>
          <w:b w:val="0"/>
          <w:i w:val="0"/>
          <w:sz w:val="40"/>
        </w:rPr>
      </w:pPr>
    </w:p>
    <w:p w:rsidR="004F39DA" w:rsidRPr="00632A65" w:rsidRDefault="004F39DA" w:rsidP="003D76D9">
      <w:pPr>
        <w:pStyle w:val="Title"/>
        <w:rPr>
          <w:b w:val="0"/>
          <w:i w:val="0"/>
          <w:sz w:val="40"/>
        </w:rPr>
      </w:pPr>
      <w:r w:rsidRPr="00632A65">
        <w:rPr>
          <w:b w:val="0"/>
          <w:i w:val="0"/>
          <w:sz w:val="40"/>
        </w:rPr>
        <w:t>COMUNE DI</w:t>
      </w:r>
      <w:r>
        <w:rPr>
          <w:b w:val="0"/>
          <w:i w:val="0"/>
          <w:sz w:val="40"/>
        </w:rPr>
        <w:t xml:space="preserve"> PERFUGAS</w:t>
      </w:r>
      <w:r w:rsidRPr="00632A65">
        <w:rPr>
          <w:b w:val="0"/>
          <w:i w:val="0"/>
          <w:sz w:val="40"/>
        </w:rPr>
        <w:t xml:space="preserve"> </w:t>
      </w:r>
    </w:p>
    <w:p w:rsidR="004F39DA" w:rsidRDefault="004F39DA" w:rsidP="003D76D9">
      <w:pPr>
        <w:pStyle w:val="Title"/>
        <w:rPr>
          <w:b w:val="0"/>
          <w:i w:val="0"/>
          <w:sz w:val="20"/>
          <w:szCs w:val="20"/>
        </w:rPr>
      </w:pPr>
      <w:r w:rsidRPr="00632A65">
        <w:rPr>
          <w:b w:val="0"/>
          <w:i w:val="0"/>
          <w:sz w:val="40"/>
        </w:rPr>
        <w:t xml:space="preserve">Provincia di </w:t>
      </w:r>
      <w:r>
        <w:rPr>
          <w:b w:val="0"/>
          <w:i w:val="0"/>
          <w:sz w:val="40"/>
        </w:rPr>
        <w:t xml:space="preserve">Sassari </w:t>
      </w:r>
    </w:p>
    <w:p w:rsidR="004F39DA" w:rsidRPr="00632A65" w:rsidRDefault="004F39DA" w:rsidP="003D76D9">
      <w:pPr>
        <w:pStyle w:val="Title"/>
        <w:rPr>
          <w:i w:val="0"/>
          <w:sz w:val="40"/>
        </w:rPr>
      </w:pPr>
    </w:p>
    <w:p w:rsidR="004F39DA" w:rsidRPr="00632A65" w:rsidRDefault="004F39DA" w:rsidP="003D76D9">
      <w:pPr>
        <w:pStyle w:val="Title"/>
        <w:pBdr>
          <w:top w:val="thickThinSmallGap" w:sz="18" w:space="1" w:color="auto"/>
          <w:left w:val="thickThinSmallGap" w:sz="18" w:space="4" w:color="auto"/>
          <w:bottom w:val="thinThickSmallGap" w:sz="18" w:space="1" w:color="auto"/>
          <w:right w:val="thinThickSmallGap" w:sz="18" w:space="4" w:color="auto"/>
        </w:pBdr>
        <w:rPr>
          <w:i w:val="0"/>
          <w:sz w:val="40"/>
        </w:rPr>
      </w:pPr>
    </w:p>
    <w:p w:rsidR="004F39DA" w:rsidRPr="00632A65" w:rsidRDefault="004F39DA" w:rsidP="003D76D9">
      <w:pPr>
        <w:pStyle w:val="Title"/>
        <w:pBdr>
          <w:top w:val="thickThinSmallGap" w:sz="18" w:space="1" w:color="auto"/>
          <w:left w:val="thickThinSmallGap" w:sz="18" w:space="4" w:color="auto"/>
          <w:bottom w:val="thinThickSmallGap" w:sz="18" w:space="1" w:color="auto"/>
          <w:right w:val="thinThickSmallGap" w:sz="18" w:space="4" w:color="auto"/>
        </w:pBdr>
        <w:rPr>
          <w:i w:val="0"/>
          <w:sz w:val="40"/>
        </w:rPr>
      </w:pPr>
      <w:r w:rsidRPr="00632A65">
        <w:rPr>
          <w:i w:val="0"/>
          <w:sz w:val="40"/>
        </w:rPr>
        <w:t xml:space="preserve">PARERE </w:t>
      </w:r>
      <w:r>
        <w:rPr>
          <w:i w:val="0"/>
          <w:sz w:val="40"/>
        </w:rPr>
        <w:t>DEL REVISORE DEI CONTI</w:t>
      </w:r>
    </w:p>
    <w:p w:rsidR="004F39DA" w:rsidRPr="00632A65" w:rsidRDefault="004F39DA" w:rsidP="003D76D9">
      <w:pPr>
        <w:pStyle w:val="Title"/>
        <w:pBdr>
          <w:top w:val="thickThinSmallGap" w:sz="18" w:space="1" w:color="auto"/>
          <w:left w:val="thickThinSmallGap" w:sz="18" w:space="4" w:color="auto"/>
          <w:bottom w:val="thinThickSmallGap" w:sz="18" w:space="1" w:color="auto"/>
          <w:right w:val="thinThickSmallGap" w:sz="18" w:space="4" w:color="auto"/>
        </w:pBdr>
        <w:rPr>
          <w:i w:val="0"/>
          <w:sz w:val="28"/>
        </w:rPr>
      </w:pPr>
      <w:r w:rsidRPr="00632A65">
        <w:rPr>
          <w:i w:val="0"/>
          <w:sz w:val="28"/>
        </w:rPr>
        <w:t>SULLA PROPOSTA DI</w:t>
      </w:r>
    </w:p>
    <w:p w:rsidR="004F39DA" w:rsidRPr="00632A65" w:rsidRDefault="004F39DA" w:rsidP="003D76D9">
      <w:pPr>
        <w:pStyle w:val="Title"/>
        <w:pBdr>
          <w:top w:val="thickThinSmallGap" w:sz="18" w:space="1" w:color="auto"/>
          <w:left w:val="thickThinSmallGap" w:sz="18" w:space="4" w:color="auto"/>
          <w:bottom w:val="thinThickSmallGap" w:sz="18" w:space="1" w:color="auto"/>
          <w:right w:val="thinThickSmallGap" w:sz="18" w:space="4" w:color="auto"/>
        </w:pBdr>
        <w:rPr>
          <w:i w:val="0"/>
          <w:sz w:val="44"/>
        </w:rPr>
      </w:pPr>
      <w:r w:rsidRPr="00632A65">
        <w:rPr>
          <w:i w:val="0"/>
          <w:sz w:val="44"/>
        </w:rPr>
        <w:t>BILANCIO DI PREVISIONE 2016-2018</w:t>
      </w:r>
    </w:p>
    <w:p w:rsidR="004F39DA" w:rsidRPr="00632A65" w:rsidRDefault="004F39DA" w:rsidP="003D76D9">
      <w:pPr>
        <w:pStyle w:val="Title"/>
        <w:pBdr>
          <w:top w:val="thickThinSmallGap" w:sz="18" w:space="1" w:color="auto"/>
          <w:left w:val="thickThinSmallGap" w:sz="18" w:space="4" w:color="auto"/>
          <w:bottom w:val="thinThickSmallGap" w:sz="18" w:space="1" w:color="auto"/>
          <w:right w:val="thinThickSmallGap" w:sz="18" w:space="4" w:color="auto"/>
        </w:pBdr>
        <w:rPr>
          <w:i w:val="0"/>
          <w:sz w:val="44"/>
        </w:rPr>
      </w:pPr>
    </w:p>
    <w:p w:rsidR="004F39DA" w:rsidRPr="00632A65" w:rsidRDefault="004F39DA" w:rsidP="003D76D9">
      <w:pPr>
        <w:pStyle w:val="Title"/>
        <w:pBdr>
          <w:top w:val="thickThinSmallGap" w:sz="18" w:space="1" w:color="auto"/>
          <w:left w:val="thickThinSmallGap" w:sz="18" w:space="4" w:color="auto"/>
          <w:bottom w:val="thinThickSmallGap" w:sz="18" w:space="1" w:color="auto"/>
          <w:right w:val="thinThickSmallGap" w:sz="18" w:space="4" w:color="auto"/>
        </w:pBdr>
        <w:rPr>
          <w:i w:val="0"/>
          <w:sz w:val="28"/>
        </w:rPr>
      </w:pPr>
      <w:r w:rsidRPr="00632A65">
        <w:rPr>
          <w:i w:val="0"/>
          <w:sz w:val="28"/>
        </w:rPr>
        <w:t>E DOCUMENTI ALLEGATI</w:t>
      </w:r>
    </w:p>
    <w:p w:rsidR="004F39DA" w:rsidRPr="00632A65" w:rsidRDefault="004F39DA" w:rsidP="003D76D9">
      <w:pPr>
        <w:pStyle w:val="Title"/>
        <w:pBdr>
          <w:top w:val="thickThinSmallGap" w:sz="18" w:space="1" w:color="auto"/>
          <w:left w:val="thickThinSmallGap" w:sz="18" w:space="4" w:color="auto"/>
          <w:bottom w:val="thinThickSmallGap" w:sz="18" w:space="1" w:color="auto"/>
          <w:right w:val="thinThickSmallGap" w:sz="18" w:space="4" w:color="auto"/>
        </w:pBdr>
        <w:rPr>
          <w:b w:val="0"/>
          <w:i w:val="0"/>
          <w:sz w:val="28"/>
        </w:rPr>
      </w:pPr>
    </w:p>
    <w:p w:rsidR="004F39DA" w:rsidRPr="00632A65" w:rsidRDefault="004F39DA" w:rsidP="003D76D9">
      <w:pPr>
        <w:pStyle w:val="Title"/>
        <w:rPr>
          <w:i w:val="0"/>
          <w:sz w:val="28"/>
        </w:rPr>
      </w:pPr>
    </w:p>
    <w:p w:rsidR="004F39DA" w:rsidRPr="00632A65" w:rsidRDefault="004F39DA" w:rsidP="003457BB">
      <w:pPr>
        <w:pStyle w:val="Title"/>
        <w:spacing w:after="0"/>
        <w:rPr>
          <w:b w:val="0"/>
          <w:sz w:val="28"/>
        </w:rPr>
      </w:pPr>
      <w:r>
        <w:rPr>
          <w:b w:val="0"/>
          <w:sz w:val="28"/>
        </w:rPr>
        <w:t>IL REVISORE DEI CONTI</w:t>
      </w:r>
    </w:p>
    <w:p w:rsidR="004F39DA" w:rsidRPr="00632A65" w:rsidRDefault="004F39DA" w:rsidP="003457BB">
      <w:pPr>
        <w:pStyle w:val="Title"/>
        <w:spacing w:after="0"/>
        <w:rPr>
          <w:b w:val="0"/>
          <w:i w:val="0"/>
          <w:sz w:val="28"/>
        </w:rPr>
      </w:pPr>
      <w:r>
        <w:rPr>
          <w:b w:val="0"/>
          <w:i w:val="0"/>
          <w:sz w:val="28"/>
        </w:rPr>
        <w:t>(Nicolò Saba)</w:t>
      </w:r>
    </w:p>
    <w:p w:rsidR="004F39DA" w:rsidRPr="00632A65" w:rsidRDefault="004F39DA" w:rsidP="003D76D9">
      <w:pPr>
        <w:pStyle w:val="Title"/>
        <w:rPr>
          <w:b w:val="0"/>
          <w:sz w:val="28"/>
        </w:rPr>
      </w:pPr>
    </w:p>
    <w:p w:rsidR="004F39DA" w:rsidRPr="00632A65" w:rsidRDefault="004F39DA" w:rsidP="003D76D9">
      <w:pPr>
        <w:pStyle w:val="cpv"/>
        <w:widowControl/>
        <w:spacing w:before="220"/>
        <w:jc w:val="center"/>
        <w:rPr>
          <w:rFonts w:ascii="Arial" w:hAnsi="Arial" w:cs="Arial"/>
          <w:b/>
          <w:sz w:val="32"/>
        </w:rPr>
      </w:pPr>
      <w:r w:rsidRPr="00632A65">
        <w:rPr>
          <w:rFonts w:ascii="Arial" w:hAnsi="Arial" w:cs="Arial"/>
          <w:b/>
          <w:sz w:val="32"/>
        </w:rPr>
        <w:br w:type="page"/>
      </w:r>
    </w:p>
    <w:p w:rsidR="004F39DA" w:rsidRPr="007B56CD" w:rsidRDefault="004F39DA" w:rsidP="003D76D9">
      <w:pPr>
        <w:pStyle w:val="cpv"/>
        <w:widowControl/>
        <w:spacing w:before="220"/>
        <w:jc w:val="center"/>
        <w:rPr>
          <w:rFonts w:ascii="Arial" w:hAnsi="Arial" w:cs="Arial"/>
          <w:b/>
          <w:i/>
          <w:sz w:val="32"/>
        </w:rPr>
      </w:pPr>
      <w:r w:rsidRPr="007B56CD">
        <w:rPr>
          <w:rFonts w:ascii="Arial" w:hAnsi="Arial" w:cs="Arial"/>
          <w:b/>
          <w:i/>
          <w:sz w:val="32"/>
        </w:rPr>
        <w:t>Premessa</w:t>
      </w:r>
    </w:p>
    <w:p w:rsidR="004F39DA" w:rsidRPr="007B56CD" w:rsidRDefault="004F39DA" w:rsidP="003D76D9">
      <w:pPr>
        <w:pStyle w:val="cpv"/>
        <w:widowControl/>
        <w:spacing w:before="220"/>
        <w:jc w:val="center"/>
        <w:rPr>
          <w:rFonts w:ascii="Arial" w:hAnsi="Arial" w:cs="Arial"/>
          <w:b/>
          <w:i/>
          <w:sz w:val="32"/>
        </w:rPr>
      </w:pPr>
    </w:p>
    <w:p w:rsidR="004F39DA" w:rsidRPr="008A5508" w:rsidRDefault="004F39DA" w:rsidP="003D76D9">
      <w:pPr>
        <w:pStyle w:val="cpv"/>
        <w:widowControl/>
        <w:spacing w:before="220"/>
        <w:rPr>
          <w:rFonts w:ascii="Arial" w:hAnsi="Arial" w:cs="Arial"/>
          <w:sz w:val="22"/>
          <w:szCs w:val="22"/>
        </w:rPr>
      </w:pPr>
      <w:r w:rsidRPr="008A5508">
        <w:rPr>
          <w:rFonts w:ascii="Arial" w:hAnsi="Arial" w:cs="Arial"/>
          <w:sz w:val="22"/>
          <w:szCs w:val="22"/>
        </w:rPr>
        <w:t>Come indicato da Arconet</w:t>
      </w:r>
    </w:p>
    <w:p w:rsidR="004F39DA" w:rsidRPr="007B56CD" w:rsidRDefault="004F39DA" w:rsidP="003D76D9">
      <w:pPr>
        <w:pStyle w:val="cpv"/>
        <w:widowControl/>
        <w:spacing w:before="220"/>
        <w:rPr>
          <w:rFonts w:ascii="Arial" w:hAnsi="Arial" w:cs="Arial"/>
          <w:i/>
          <w:sz w:val="22"/>
          <w:szCs w:val="22"/>
        </w:rPr>
      </w:pPr>
      <w:r w:rsidRPr="007B56CD">
        <w:rPr>
          <w:rFonts w:ascii="Arial" w:hAnsi="Arial" w:cs="Arial"/>
          <w:i/>
          <w:sz w:val="22"/>
          <w:szCs w:val="22"/>
        </w:rPr>
        <w:t>“A decorrere dal 2016 gli enti territoriali, i loro organismi strumentali e i loro enti strumentali in contabilità finanziaria approvano il bilancio di previsione almeno triennale, secondo lo schema di cui all’allegato n. 9 al D.Lgs. n. 118/2011. Dal 2016 è soppressa la distinzione tra il bilancio annuale e il bilancio pluriennale e viene meno l’obbligo di predisporre bilanci e rendiconto secondo un doppio schema (conoscitivo e autorizzatorio). Resta fermo l’obbligo di predisporre il rendiconto della gestione secondo lo schema adottato nel 2014, affiancato dallo schema per missioni e programmi (con funzione conoscitiva). L’elaborazione del bilancio di previsione 2016-2018 per missioni e programmi con funzione autorizzatoria è favorita dalla riclassificazione dei capitoli e degli articoli del bilancio gestionale (regioni e enti regionali) e del PEG (enti locali) per missioni e programmi, effettuata l’anno precedente per consentire l’elaborazione del bilancio di previsione 2015-2017 con funzione conoscitiva. Si ricorda che i capitoli/articoli, oltre che per missioni e programmi, devono essere riclassificati anche ai fini del piano dei conti finanziario (almeno al quarto livello), dal quale deriva anche la classificazione per categorie di entrata e per macroaggregati di spesa (secondo livello del piano dei conti finanziario), necessaria per l’elaborazione del rendiconto della gestione. Le riclassificazioni sono effettuate nel rispetto dell’articolo 7 del D.Lgs. n. 118/2011, che vieta l’adozione del criterio della prevalenza, salvi i casi in cui è espressamente consentito. Ove necessario, gli enti sono tenuti al cd. “spacchettamento” dei capitoli del bilancio gestionale o del PEG, al fine di garantire, in fase di gestione e di rendicontazione, una correlazione con rapporto di tipo 1:1 tra le voci del bilancio gestionale/PEG e le voci del piano dei conti finanziario di quarto livello. L’obbligo di ripartire la spesa per missioni e programmi senza applicare il criterio della prevalenza riguarda anche la spesa di personale”.</w:t>
      </w:r>
    </w:p>
    <w:p w:rsidR="004F39DA" w:rsidRPr="008A5508" w:rsidRDefault="004F39DA" w:rsidP="003D76D9">
      <w:pPr>
        <w:pStyle w:val="cpv"/>
        <w:widowControl/>
        <w:spacing w:before="220"/>
        <w:rPr>
          <w:rFonts w:ascii="Arial" w:hAnsi="Arial" w:cs="Arial"/>
          <w:sz w:val="22"/>
          <w:szCs w:val="22"/>
        </w:rPr>
      </w:pPr>
      <w:r w:rsidRPr="008A5508">
        <w:rPr>
          <w:rFonts w:ascii="Arial" w:hAnsi="Arial" w:cs="Arial"/>
          <w:sz w:val="22"/>
          <w:szCs w:val="22"/>
        </w:rPr>
        <w:t>Lo schema di parere che viene presentato è predisposto nel rispetto della parte II “Ordinamento finanziario e contabile del d.lgs.18/8/2000 n.267 (</w:t>
      </w:r>
      <w:r>
        <w:rPr>
          <w:rFonts w:ascii="Arial" w:hAnsi="Arial" w:cs="Arial"/>
          <w:sz w:val="22"/>
          <w:szCs w:val="22"/>
        </w:rPr>
        <w:t>TUEL</w:t>
      </w:r>
      <w:r w:rsidRPr="008A5508">
        <w:rPr>
          <w:rFonts w:ascii="Arial" w:hAnsi="Arial" w:cs="Arial"/>
          <w:sz w:val="22"/>
          <w:szCs w:val="22"/>
        </w:rPr>
        <w:t>), dei principi contabili generali e del principio contabile applicato 4/2, allegati al d.lgs. 118/2011.</w:t>
      </w:r>
    </w:p>
    <w:p w:rsidR="004F39DA" w:rsidRPr="008A5508" w:rsidRDefault="004F39DA" w:rsidP="003D76D9">
      <w:pPr>
        <w:pStyle w:val="cpv"/>
        <w:widowControl/>
        <w:spacing w:before="220"/>
        <w:rPr>
          <w:rFonts w:ascii="Arial" w:hAnsi="Arial" w:cs="Arial"/>
          <w:sz w:val="22"/>
          <w:szCs w:val="22"/>
        </w:rPr>
      </w:pPr>
      <w:r w:rsidRPr="008A5508">
        <w:rPr>
          <w:rFonts w:ascii="Arial" w:hAnsi="Arial" w:cs="Arial"/>
          <w:sz w:val="22"/>
          <w:szCs w:val="22"/>
        </w:rPr>
        <w:t>Lo schema tiene conto delle norme emanate fino al 31/12/2015 è verrà aggiornato nel caso di sostanziali modifiche della normativa relativa al bilancio di previsione.</w:t>
      </w:r>
    </w:p>
    <w:p w:rsidR="004F39DA" w:rsidRPr="00632A65" w:rsidRDefault="004F39DA" w:rsidP="003D76D9">
      <w:pPr>
        <w:jc w:val="center"/>
        <w:rPr>
          <w:rFonts w:ascii="Arial" w:hAnsi="Arial" w:cs="Arial"/>
          <w:i/>
          <w:color w:val="0070C0"/>
          <w:sz w:val="22"/>
          <w:szCs w:val="22"/>
        </w:rPr>
      </w:pPr>
      <w:r w:rsidRPr="007B56CD">
        <w:rPr>
          <w:rFonts w:ascii="Arial" w:hAnsi="Arial" w:cs="Arial"/>
          <w:i/>
          <w:sz w:val="22"/>
          <w:szCs w:val="22"/>
        </w:rPr>
        <w:br w:type="page"/>
      </w:r>
    </w:p>
    <w:p w:rsidR="004F39DA" w:rsidRPr="00632A65" w:rsidRDefault="004F39DA" w:rsidP="003457BB">
      <w:pPr>
        <w:jc w:val="center"/>
        <w:rPr>
          <w:rFonts w:ascii="Arial" w:hAnsi="Arial" w:cs="Arial"/>
          <w:b/>
          <w:sz w:val="32"/>
        </w:rPr>
      </w:pPr>
      <w:r w:rsidRPr="00632A65">
        <w:rPr>
          <w:rFonts w:ascii="Arial" w:hAnsi="Arial" w:cs="Arial"/>
          <w:b/>
          <w:sz w:val="32"/>
        </w:rPr>
        <w:t>Comune di</w:t>
      </w:r>
      <w:r>
        <w:rPr>
          <w:rFonts w:ascii="Arial" w:hAnsi="Arial" w:cs="Arial"/>
          <w:b/>
          <w:sz w:val="32"/>
        </w:rPr>
        <w:t xml:space="preserve"> Perfugas</w:t>
      </w:r>
    </w:p>
    <w:p w:rsidR="004F39DA" w:rsidRPr="00632A65" w:rsidRDefault="004F39DA" w:rsidP="003D76D9">
      <w:pPr>
        <w:pStyle w:val="cpv"/>
        <w:widowControl/>
        <w:jc w:val="center"/>
        <w:rPr>
          <w:rFonts w:ascii="Arial" w:hAnsi="Arial" w:cs="Arial"/>
          <w:b/>
          <w:sz w:val="32"/>
        </w:rPr>
      </w:pPr>
      <w:r>
        <w:rPr>
          <w:rFonts w:ascii="Arial" w:hAnsi="Arial" w:cs="Arial"/>
          <w:b/>
          <w:sz w:val="32"/>
        </w:rPr>
        <w:t>IL REVISORE DEI CONTI</w:t>
      </w:r>
    </w:p>
    <w:p w:rsidR="004F39DA" w:rsidRPr="005F4301" w:rsidRDefault="004F39DA" w:rsidP="003D76D9">
      <w:pPr>
        <w:pStyle w:val="cpv"/>
        <w:widowControl/>
        <w:jc w:val="center"/>
        <w:rPr>
          <w:rFonts w:ascii="Arial" w:hAnsi="Arial" w:cs="Arial"/>
          <w:sz w:val="24"/>
          <w:szCs w:val="24"/>
        </w:rPr>
      </w:pPr>
      <w:r w:rsidRPr="005F4301">
        <w:rPr>
          <w:rFonts w:ascii="Arial" w:hAnsi="Arial" w:cs="Arial"/>
          <w:sz w:val="24"/>
          <w:szCs w:val="24"/>
        </w:rPr>
        <w:t xml:space="preserve">Verbale n. 33 del </w:t>
      </w:r>
      <w:r>
        <w:rPr>
          <w:rFonts w:ascii="Arial" w:hAnsi="Arial" w:cs="Arial"/>
          <w:sz w:val="24"/>
          <w:szCs w:val="24"/>
        </w:rPr>
        <w:t>22</w:t>
      </w:r>
      <w:bookmarkStart w:id="0" w:name="_GoBack"/>
      <w:bookmarkEnd w:id="0"/>
      <w:r w:rsidRPr="005F4301">
        <w:rPr>
          <w:rFonts w:ascii="Arial" w:hAnsi="Arial" w:cs="Arial"/>
          <w:sz w:val="24"/>
          <w:szCs w:val="24"/>
        </w:rPr>
        <w:t>/04/2016</w:t>
      </w:r>
    </w:p>
    <w:p w:rsidR="004F39DA" w:rsidRPr="00632A65" w:rsidRDefault="004F39DA" w:rsidP="003D76D9">
      <w:pPr>
        <w:pStyle w:val="LIV2"/>
        <w:widowControl/>
        <w:spacing w:after="0"/>
        <w:jc w:val="center"/>
        <w:rPr>
          <w:rFonts w:ascii="Arial" w:hAnsi="Arial" w:cs="Arial"/>
          <w:sz w:val="24"/>
        </w:rPr>
      </w:pPr>
    </w:p>
    <w:p w:rsidR="004F39DA" w:rsidRPr="00632A65" w:rsidRDefault="004F39DA" w:rsidP="003D76D9">
      <w:pPr>
        <w:pStyle w:val="LIV2"/>
        <w:widowControl/>
        <w:spacing w:after="0"/>
        <w:jc w:val="center"/>
        <w:rPr>
          <w:rFonts w:ascii="Arial" w:hAnsi="Arial" w:cs="Arial"/>
          <w:sz w:val="24"/>
        </w:rPr>
      </w:pPr>
      <w:r w:rsidRPr="00632A65">
        <w:rPr>
          <w:rFonts w:ascii="Arial" w:hAnsi="Arial" w:cs="Arial"/>
          <w:sz w:val="24"/>
        </w:rPr>
        <w:t>PARERE SUL BILANCIO DI PREVISIONE 2016-2018</w:t>
      </w:r>
    </w:p>
    <w:p w:rsidR="004F39DA" w:rsidRPr="00632A65" w:rsidRDefault="004F39DA" w:rsidP="003D76D9">
      <w:pPr>
        <w:pStyle w:val="cpv"/>
        <w:widowControl/>
        <w:tabs>
          <w:tab w:val="left" w:pos="6652"/>
        </w:tabs>
        <w:spacing w:before="260"/>
        <w:rPr>
          <w:rFonts w:ascii="Arial" w:hAnsi="Arial" w:cs="Arial"/>
          <w:sz w:val="24"/>
        </w:rPr>
      </w:pPr>
    </w:p>
    <w:p w:rsidR="004F39DA" w:rsidRPr="00632A65" w:rsidRDefault="004F39DA" w:rsidP="003D76D9">
      <w:pPr>
        <w:pStyle w:val="cpv"/>
        <w:widowControl/>
        <w:tabs>
          <w:tab w:val="left" w:pos="6652"/>
        </w:tabs>
        <w:spacing w:before="260"/>
        <w:rPr>
          <w:rFonts w:ascii="Arial" w:hAnsi="Arial" w:cs="Arial"/>
          <w:sz w:val="24"/>
        </w:rPr>
      </w:pPr>
      <w:r w:rsidRPr="00632A65">
        <w:rPr>
          <w:rFonts w:ascii="Arial" w:hAnsi="Arial" w:cs="Arial"/>
          <w:sz w:val="24"/>
        </w:rPr>
        <w:t>Premesso che l'organo di revisione ha:</w:t>
      </w:r>
    </w:p>
    <w:p w:rsidR="004F39DA" w:rsidRPr="00632A65" w:rsidRDefault="004F39DA" w:rsidP="00E11CA8">
      <w:pPr>
        <w:pStyle w:val="sottocpv1"/>
        <w:widowControl/>
        <w:numPr>
          <w:ilvl w:val="0"/>
          <w:numId w:val="12"/>
        </w:numPr>
        <w:rPr>
          <w:rFonts w:ascii="Arial" w:hAnsi="Arial" w:cs="Arial"/>
          <w:sz w:val="24"/>
        </w:rPr>
      </w:pPr>
      <w:r w:rsidRPr="00632A65">
        <w:rPr>
          <w:rFonts w:ascii="Arial" w:hAnsi="Arial" w:cs="Arial"/>
          <w:sz w:val="24"/>
        </w:rPr>
        <w:t>esaminato la proposta di bilancio di previsione 2016-2018, unitamente agli allegati di legge;</w:t>
      </w:r>
    </w:p>
    <w:p w:rsidR="004F39DA" w:rsidRPr="00632A65" w:rsidRDefault="004F39DA" w:rsidP="00E11CA8">
      <w:pPr>
        <w:pStyle w:val="sottocpv1"/>
        <w:widowControl/>
        <w:numPr>
          <w:ilvl w:val="0"/>
          <w:numId w:val="12"/>
        </w:numPr>
        <w:rPr>
          <w:rFonts w:ascii="Arial" w:hAnsi="Arial" w:cs="Arial"/>
          <w:sz w:val="24"/>
        </w:rPr>
      </w:pPr>
      <w:r w:rsidRPr="00632A65">
        <w:rPr>
          <w:rFonts w:ascii="Arial" w:hAnsi="Arial" w:cs="Arial"/>
          <w:sz w:val="24"/>
        </w:rPr>
        <w:t>visto il D.Lgs. 18 agosto 2000, n. 267 «Testo unico delle leggi sull'ordinamento degli enti locali» (</w:t>
      </w:r>
      <w:hyperlink r:id="rId7" w:history="1">
        <w:r>
          <w:rPr>
            <w:rFonts w:ascii="Arial" w:hAnsi="Arial" w:cs="Arial"/>
            <w:sz w:val="24"/>
          </w:rPr>
          <w:t>TUEL</w:t>
        </w:r>
      </w:hyperlink>
      <w:r w:rsidRPr="00632A65">
        <w:rPr>
          <w:rFonts w:ascii="Arial" w:hAnsi="Arial" w:cs="Arial"/>
          <w:sz w:val="24"/>
        </w:rPr>
        <w:t>);</w:t>
      </w:r>
    </w:p>
    <w:p w:rsidR="004F39DA" w:rsidRPr="00632A65" w:rsidRDefault="004F39DA" w:rsidP="00E11CA8">
      <w:pPr>
        <w:pStyle w:val="sottocpv1"/>
        <w:widowControl/>
        <w:numPr>
          <w:ilvl w:val="0"/>
          <w:numId w:val="12"/>
        </w:numPr>
        <w:rPr>
          <w:rFonts w:ascii="Arial" w:hAnsi="Arial" w:cs="Arial"/>
          <w:sz w:val="24"/>
        </w:rPr>
      </w:pPr>
      <w:r w:rsidRPr="00632A65">
        <w:rPr>
          <w:rFonts w:ascii="Arial" w:hAnsi="Arial" w:cs="Arial"/>
          <w:sz w:val="24"/>
        </w:rPr>
        <w:t>visto il D.lgs. 118/2011 e la versione aggiornata dei principi contabili generali ed applicati pubblicati sul sito ARCONET - Armonizzazione contabile enti territoriali;</w:t>
      </w:r>
    </w:p>
    <w:p w:rsidR="004F39DA" w:rsidRPr="00632A65" w:rsidRDefault="004F39DA" w:rsidP="003D76D9">
      <w:pPr>
        <w:pStyle w:val="CPVC"/>
        <w:widowControl/>
        <w:spacing w:after="0"/>
        <w:rPr>
          <w:rFonts w:ascii="Arial" w:hAnsi="Arial" w:cs="Arial"/>
          <w:b/>
          <w:sz w:val="32"/>
        </w:rPr>
      </w:pPr>
      <w:r w:rsidRPr="00632A65">
        <w:rPr>
          <w:rFonts w:ascii="Arial" w:hAnsi="Arial" w:cs="Arial"/>
          <w:b/>
          <w:sz w:val="32"/>
        </w:rPr>
        <w:t>Presenta</w:t>
      </w:r>
    </w:p>
    <w:p w:rsidR="004F39DA" w:rsidRPr="00632A65" w:rsidRDefault="004F39DA" w:rsidP="003D76D9">
      <w:pPr>
        <w:pStyle w:val="cpv"/>
        <w:widowControl/>
        <w:spacing w:before="260"/>
        <w:rPr>
          <w:rFonts w:ascii="Arial" w:hAnsi="Arial" w:cs="Arial"/>
          <w:sz w:val="24"/>
        </w:rPr>
      </w:pPr>
      <w:r w:rsidRPr="00632A65">
        <w:rPr>
          <w:rFonts w:ascii="Arial" w:hAnsi="Arial" w:cs="Arial"/>
          <w:sz w:val="24"/>
        </w:rPr>
        <w:t>l'allegata relazione quale parere sulla proposta di bilancio di previsione per gli esercizi 2016-2018, che forma parte integrante e sostanziale del presente verbale.</w:t>
      </w:r>
    </w:p>
    <w:p w:rsidR="004F39DA" w:rsidRPr="00632A65" w:rsidRDefault="004F39DA" w:rsidP="003D76D9">
      <w:pPr>
        <w:pStyle w:val="cpv"/>
        <w:widowControl/>
        <w:spacing w:before="260"/>
        <w:rPr>
          <w:rFonts w:ascii="Arial" w:hAnsi="Arial" w:cs="Arial"/>
          <w:sz w:val="24"/>
        </w:rPr>
      </w:pPr>
      <w:r w:rsidRPr="00632A65">
        <w:rPr>
          <w:rFonts w:ascii="Arial" w:hAnsi="Arial" w:cs="Arial"/>
          <w:sz w:val="24"/>
        </w:rPr>
        <w:t xml:space="preserve">lì </w:t>
      </w:r>
      <w:r>
        <w:rPr>
          <w:rFonts w:ascii="Arial" w:hAnsi="Arial" w:cs="Arial"/>
          <w:sz w:val="24"/>
        </w:rPr>
        <w:t>22/04/2016</w:t>
      </w:r>
    </w:p>
    <w:p w:rsidR="004F39DA" w:rsidRPr="00632A65" w:rsidRDefault="004F39DA" w:rsidP="003D76D9">
      <w:pPr>
        <w:pStyle w:val="cpv"/>
        <w:widowControl/>
        <w:spacing w:before="260"/>
        <w:rPr>
          <w:rFonts w:ascii="Arial" w:hAnsi="Arial" w:cs="Arial"/>
          <w:sz w:val="24"/>
        </w:rPr>
      </w:pPr>
    </w:p>
    <w:p w:rsidR="004F39DA" w:rsidRDefault="004F39DA" w:rsidP="003457BB">
      <w:pPr>
        <w:pStyle w:val="cpv"/>
        <w:widowControl/>
        <w:spacing w:before="0"/>
        <w:rPr>
          <w:rFonts w:ascii="Arial" w:hAnsi="Arial" w:cs="Arial"/>
          <w:sz w:val="24"/>
        </w:rPr>
      </w:pPr>
      <w:r>
        <w:rPr>
          <w:rFonts w:ascii="Arial" w:hAnsi="Arial" w:cs="Arial"/>
          <w:sz w:val="24"/>
        </w:rPr>
        <w:t>IL REVISORE DEI CONTI</w:t>
      </w:r>
    </w:p>
    <w:p w:rsidR="004F39DA" w:rsidRPr="00632A65" w:rsidRDefault="004F39DA" w:rsidP="003457BB">
      <w:pPr>
        <w:pStyle w:val="cpv"/>
        <w:widowControl/>
        <w:spacing w:before="0"/>
        <w:rPr>
          <w:rFonts w:ascii="Arial" w:hAnsi="Arial" w:cs="Arial"/>
          <w:sz w:val="24"/>
        </w:rPr>
      </w:pPr>
      <w:r>
        <w:rPr>
          <w:rFonts w:ascii="Arial" w:hAnsi="Arial" w:cs="Arial"/>
          <w:sz w:val="24"/>
        </w:rPr>
        <w:t>(Nicolò Saba)</w:t>
      </w:r>
    </w:p>
    <w:p w:rsidR="004F39DA" w:rsidRPr="007B56CD" w:rsidRDefault="004F39DA" w:rsidP="003D76D9">
      <w:pPr>
        <w:tabs>
          <w:tab w:val="left" w:pos="1275"/>
          <w:tab w:val="left" w:pos="1560"/>
          <w:tab w:val="left" w:leader="dot" w:pos="8789"/>
          <w:tab w:val="right" w:pos="9639"/>
        </w:tabs>
        <w:spacing w:line="360" w:lineRule="auto"/>
        <w:rPr>
          <w:rFonts w:ascii="Arial" w:hAnsi="Arial" w:cs="Arial"/>
        </w:rPr>
      </w:pPr>
      <w:r w:rsidRPr="00632A65">
        <w:rPr>
          <w:rFonts w:ascii="Arial" w:hAnsi="Arial" w:cs="Arial"/>
        </w:rPr>
        <w:br w:type="page"/>
      </w:r>
    </w:p>
    <w:p w:rsidR="004F39DA" w:rsidRPr="007B56CD" w:rsidRDefault="004F39DA" w:rsidP="00632A65">
      <w:pPr>
        <w:pStyle w:val="Grigliatab31"/>
        <w:spacing w:before="0"/>
        <w:rPr>
          <w:rFonts w:ascii="Arial" w:hAnsi="Arial" w:cs="Arial"/>
          <w:color w:val="auto"/>
        </w:rPr>
      </w:pPr>
    </w:p>
    <w:p w:rsidR="004F39DA" w:rsidRPr="007B56CD" w:rsidRDefault="004F39DA" w:rsidP="00632A65">
      <w:pPr>
        <w:pStyle w:val="Grigliatab31"/>
        <w:spacing w:before="0"/>
        <w:rPr>
          <w:rFonts w:ascii="Arial" w:hAnsi="Arial" w:cs="Arial"/>
          <w:color w:val="auto"/>
        </w:rPr>
      </w:pPr>
      <w:r w:rsidRPr="007B56CD">
        <w:rPr>
          <w:rFonts w:ascii="Arial" w:hAnsi="Arial" w:cs="Arial"/>
          <w:color w:val="auto"/>
        </w:rPr>
        <w:t>Sommario</w:t>
      </w:r>
    </w:p>
    <w:p w:rsidR="004F39DA" w:rsidRPr="007B56CD" w:rsidRDefault="004F39DA" w:rsidP="00632A65">
      <w:pPr>
        <w:rPr>
          <w:rFonts w:ascii="Arial" w:hAnsi="Arial" w:cs="Arial"/>
        </w:rPr>
      </w:pP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rPr>
        <w:fldChar w:fldCharType="begin"/>
      </w:r>
      <w:r w:rsidRPr="007B56CD">
        <w:rPr>
          <w:rFonts w:ascii="Arial" w:hAnsi="Arial" w:cs="Arial"/>
        </w:rPr>
        <w:instrText xml:space="preserve"> TOC \o "1-3" \h \z \u </w:instrText>
      </w:r>
      <w:r w:rsidRPr="007B56CD">
        <w:rPr>
          <w:rFonts w:ascii="Arial" w:hAnsi="Arial" w:cs="Arial"/>
        </w:rPr>
        <w:fldChar w:fldCharType="separate"/>
      </w:r>
      <w:r w:rsidRPr="007B56CD">
        <w:rPr>
          <w:rFonts w:ascii="Arial" w:hAnsi="Arial" w:cs="Arial"/>
          <w:bCs/>
          <w:smallCaps/>
          <w:noProof/>
          <w:spacing w:val="5"/>
        </w:rPr>
        <w:t>PREMESSA E VERIFICHE PRELIMINARI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_Toc314835175 \h </w:instrText>
      </w:r>
      <w:r w:rsidRPr="007B56CD">
        <w:rPr>
          <w:rFonts w:ascii="Arial" w:hAnsi="Arial" w:cs="Arial"/>
          <w:noProof/>
        </w:rPr>
      </w:r>
      <w:r w:rsidRPr="007B56CD">
        <w:rPr>
          <w:rFonts w:ascii="Arial" w:hAnsi="Arial" w:cs="Arial"/>
          <w:noProof/>
        </w:rPr>
        <w:fldChar w:fldCharType="separate"/>
      </w:r>
      <w:r>
        <w:rPr>
          <w:rFonts w:ascii="Arial" w:hAnsi="Arial" w:cs="Arial"/>
          <w:noProof/>
        </w:rPr>
        <w:t>5</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ACCERTAMENTI PRELIMINARI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_Toc314835176 \h </w:instrText>
      </w:r>
      <w:r w:rsidRPr="007B56CD">
        <w:rPr>
          <w:rFonts w:ascii="Arial" w:hAnsi="Arial" w:cs="Arial"/>
          <w:noProof/>
        </w:rPr>
      </w:r>
      <w:r w:rsidRPr="007B56CD">
        <w:rPr>
          <w:rFonts w:ascii="Arial" w:hAnsi="Arial" w:cs="Arial"/>
          <w:noProof/>
        </w:rPr>
        <w:fldChar w:fldCharType="separate"/>
      </w:r>
      <w:r>
        <w:rPr>
          <w:rFonts w:ascii="Arial" w:hAnsi="Arial" w:cs="Arial"/>
          <w:noProof/>
        </w:rPr>
        <w:t>7</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VERIFICHE DEGLI EQUILIBRI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_Toc314835177 \h </w:instrText>
      </w:r>
      <w:r w:rsidRPr="007B56CD">
        <w:rPr>
          <w:rFonts w:ascii="Arial" w:hAnsi="Arial" w:cs="Arial"/>
          <w:noProof/>
        </w:rPr>
      </w:r>
      <w:r w:rsidRPr="007B56CD">
        <w:rPr>
          <w:rFonts w:ascii="Arial" w:hAnsi="Arial" w:cs="Arial"/>
          <w:noProof/>
        </w:rPr>
        <w:fldChar w:fldCharType="separate"/>
      </w:r>
      <w:r>
        <w:rPr>
          <w:rFonts w:ascii="Arial" w:hAnsi="Arial" w:cs="Arial"/>
          <w:noProof/>
        </w:rPr>
        <w:t>8</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GESTIONE DELL’ESERCIZIO 2015</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_Toc314835178 \h </w:instrText>
      </w:r>
      <w:r w:rsidRPr="007B56CD">
        <w:rPr>
          <w:rFonts w:ascii="Arial" w:hAnsi="Arial" w:cs="Arial"/>
          <w:noProof/>
        </w:rPr>
      </w:r>
      <w:r w:rsidRPr="007B56CD">
        <w:rPr>
          <w:rFonts w:ascii="Arial" w:hAnsi="Arial" w:cs="Arial"/>
          <w:noProof/>
        </w:rPr>
        <w:fldChar w:fldCharType="separate"/>
      </w:r>
      <w:r>
        <w:rPr>
          <w:rFonts w:ascii="Arial" w:hAnsi="Arial" w:cs="Arial"/>
          <w:noProof/>
        </w:rPr>
        <w:t>8</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BILANCIO DI PREVISIONE 2016-2018</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_Toc314835179 \h </w:instrText>
      </w:r>
      <w:r w:rsidRPr="007B56CD">
        <w:rPr>
          <w:rFonts w:ascii="Arial" w:hAnsi="Arial" w:cs="Arial"/>
          <w:noProof/>
        </w:rPr>
      </w:r>
      <w:r w:rsidRPr="007B56CD">
        <w:rPr>
          <w:rFonts w:ascii="Arial" w:hAnsi="Arial" w:cs="Arial"/>
          <w:noProof/>
        </w:rPr>
        <w:fldChar w:fldCharType="separate"/>
      </w:r>
      <w:r>
        <w:rPr>
          <w:rFonts w:ascii="Arial" w:hAnsi="Arial" w:cs="Arial"/>
          <w:noProof/>
        </w:rPr>
        <w:t>9</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1. Riepilogo generale entrate e spese per titoli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_Toc314835180 \h </w:instrText>
      </w:r>
      <w:r w:rsidRPr="007B56CD">
        <w:rPr>
          <w:rFonts w:ascii="Arial" w:hAnsi="Arial" w:cs="Arial"/>
          <w:noProof/>
        </w:rPr>
      </w:r>
      <w:r w:rsidRPr="007B56CD">
        <w:rPr>
          <w:rFonts w:ascii="Arial" w:hAnsi="Arial" w:cs="Arial"/>
          <w:noProof/>
        </w:rPr>
        <w:fldChar w:fldCharType="separate"/>
      </w:r>
      <w:r>
        <w:rPr>
          <w:rFonts w:ascii="Arial" w:hAnsi="Arial" w:cs="Arial"/>
          <w:noProof/>
        </w:rPr>
        <w:t>9</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2. Previsioni di cassa</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_Toc314835181 \h </w:instrText>
      </w:r>
      <w:r w:rsidRPr="007B56CD">
        <w:rPr>
          <w:rFonts w:ascii="Arial" w:hAnsi="Arial" w:cs="Arial"/>
          <w:noProof/>
        </w:rPr>
      </w:r>
      <w:r w:rsidRPr="007B56CD">
        <w:rPr>
          <w:rFonts w:ascii="Arial" w:hAnsi="Arial" w:cs="Arial"/>
          <w:noProof/>
        </w:rPr>
        <w:fldChar w:fldCharType="separate"/>
      </w:r>
      <w:r>
        <w:rPr>
          <w:rFonts w:ascii="Arial" w:hAnsi="Arial" w:cs="Arial"/>
          <w:noProof/>
        </w:rPr>
        <w:t>12</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3. Verifica equilibrio corrente, in conto capitale e finale anno 2016-2018</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_Toc314835182 \h </w:instrText>
      </w:r>
      <w:r w:rsidRPr="007B56CD">
        <w:rPr>
          <w:rFonts w:ascii="Arial" w:hAnsi="Arial" w:cs="Arial"/>
          <w:noProof/>
        </w:rPr>
      </w:r>
      <w:r w:rsidRPr="007B56CD">
        <w:rPr>
          <w:rFonts w:ascii="Arial" w:hAnsi="Arial" w:cs="Arial"/>
          <w:noProof/>
        </w:rPr>
        <w:fldChar w:fldCharType="separate"/>
      </w:r>
      <w:r>
        <w:rPr>
          <w:rFonts w:ascii="Arial" w:hAnsi="Arial" w:cs="Arial"/>
          <w:noProof/>
        </w:rPr>
        <w:t>14</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4. Entrate e spese di carattere non ripetitivo</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_Toc314835183 \h </w:instrText>
      </w:r>
      <w:r w:rsidRPr="007B56CD">
        <w:rPr>
          <w:rFonts w:ascii="Arial" w:hAnsi="Arial" w:cs="Arial"/>
          <w:noProof/>
        </w:rPr>
      </w:r>
      <w:r w:rsidRPr="007B56CD">
        <w:rPr>
          <w:rFonts w:ascii="Arial" w:hAnsi="Arial" w:cs="Arial"/>
          <w:noProof/>
        </w:rPr>
        <w:fldChar w:fldCharType="separate"/>
      </w:r>
      <w:r>
        <w:rPr>
          <w:rFonts w:ascii="Arial" w:hAnsi="Arial" w:cs="Arial"/>
          <w:b/>
          <w:bCs/>
          <w:noProof/>
        </w:rPr>
        <w:t>Errore. Il segnalibro non è definito.</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5. Finanziamento della spesa del titolo II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_Toc314835184 \h </w:instrText>
      </w:r>
      <w:r w:rsidRPr="007B56CD">
        <w:rPr>
          <w:rFonts w:ascii="Arial" w:hAnsi="Arial" w:cs="Arial"/>
          <w:noProof/>
        </w:rPr>
      </w:r>
      <w:r w:rsidRPr="007B56CD">
        <w:rPr>
          <w:rFonts w:ascii="Arial" w:hAnsi="Arial" w:cs="Arial"/>
          <w:noProof/>
        </w:rPr>
        <w:fldChar w:fldCharType="separate"/>
      </w:r>
      <w:r>
        <w:rPr>
          <w:rFonts w:ascii="Arial" w:hAnsi="Arial" w:cs="Arial"/>
          <w:noProof/>
        </w:rPr>
        <w:t>17</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6. La nota integrativa</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_Toc314835185 \h </w:instrText>
      </w:r>
      <w:r w:rsidRPr="007B56CD">
        <w:rPr>
          <w:rFonts w:ascii="Arial" w:hAnsi="Arial" w:cs="Arial"/>
          <w:noProof/>
        </w:rPr>
      </w:r>
      <w:r w:rsidRPr="007B56CD">
        <w:rPr>
          <w:rFonts w:ascii="Arial" w:hAnsi="Arial" w:cs="Arial"/>
          <w:noProof/>
        </w:rPr>
        <w:fldChar w:fldCharType="separate"/>
      </w:r>
      <w:r>
        <w:rPr>
          <w:rFonts w:ascii="Arial" w:hAnsi="Arial" w:cs="Arial"/>
          <w:noProof/>
        </w:rPr>
        <w:t>17</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VERIFICA COERENZA DELLE PREVISIONI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_Toc314835186 \h </w:instrText>
      </w:r>
      <w:r w:rsidRPr="007B56CD">
        <w:rPr>
          <w:rFonts w:ascii="Arial" w:hAnsi="Arial" w:cs="Arial"/>
          <w:noProof/>
        </w:rPr>
      </w:r>
      <w:r w:rsidRPr="007B56CD">
        <w:rPr>
          <w:rFonts w:ascii="Arial" w:hAnsi="Arial" w:cs="Arial"/>
          <w:noProof/>
        </w:rPr>
        <w:fldChar w:fldCharType="separate"/>
      </w:r>
      <w:r>
        <w:rPr>
          <w:rFonts w:ascii="Arial" w:hAnsi="Arial" w:cs="Arial"/>
          <w:noProof/>
        </w:rPr>
        <w:t>18</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7. Verifica della coerenza interna</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_Toc314835187 \h </w:instrText>
      </w:r>
      <w:r w:rsidRPr="007B56CD">
        <w:rPr>
          <w:rFonts w:ascii="Arial" w:hAnsi="Arial" w:cs="Arial"/>
          <w:noProof/>
        </w:rPr>
      </w:r>
      <w:r w:rsidRPr="007B56CD">
        <w:rPr>
          <w:rFonts w:ascii="Arial" w:hAnsi="Arial" w:cs="Arial"/>
          <w:noProof/>
        </w:rPr>
        <w:fldChar w:fldCharType="separate"/>
      </w:r>
      <w:r>
        <w:rPr>
          <w:rFonts w:ascii="Arial" w:hAnsi="Arial" w:cs="Arial"/>
          <w:noProof/>
        </w:rPr>
        <w:t>18</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8. Verifica della coerenza esterna</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_Toc314835188 \h </w:instrText>
      </w:r>
      <w:r w:rsidRPr="007B56CD">
        <w:rPr>
          <w:rFonts w:ascii="Arial" w:hAnsi="Arial" w:cs="Arial"/>
          <w:noProof/>
        </w:rPr>
      </w:r>
      <w:r w:rsidRPr="007B56CD">
        <w:rPr>
          <w:rFonts w:ascii="Arial" w:hAnsi="Arial" w:cs="Arial"/>
          <w:noProof/>
        </w:rPr>
        <w:fldChar w:fldCharType="separate"/>
      </w:r>
      <w:r>
        <w:rPr>
          <w:rFonts w:ascii="Arial" w:hAnsi="Arial" w:cs="Arial"/>
          <w:noProof/>
        </w:rPr>
        <w:t>19</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VERIFICA ATTENDIBILITA’ E CONGRUITA’ DELLE PREVISIONI ANNO 2016-2018</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_Toc314835189 \h </w:instrText>
      </w:r>
      <w:r w:rsidRPr="007B56CD">
        <w:rPr>
          <w:rFonts w:ascii="Arial" w:hAnsi="Arial" w:cs="Arial"/>
          <w:noProof/>
        </w:rPr>
      </w:r>
      <w:r w:rsidRPr="007B56CD">
        <w:rPr>
          <w:rFonts w:ascii="Arial" w:hAnsi="Arial" w:cs="Arial"/>
          <w:noProof/>
        </w:rPr>
        <w:fldChar w:fldCharType="separate"/>
      </w:r>
      <w:r>
        <w:rPr>
          <w:rFonts w:ascii="Arial" w:hAnsi="Arial" w:cs="Arial"/>
          <w:noProof/>
        </w:rPr>
        <w:t>21</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A) ENTRATE CORRENTI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_Toc314835190 \h </w:instrText>
      </w:r>
      <w:r w:rsidRPr="007B56CD">
        <w:rPr>
          <w:rFonts w:ascii="Arial" w:hAnsi="Arial" w:cs="Arial"/>
          <w:noProof/>
        </w:rPr>
      </w:r>
      <w:r w:rsidRPr="007B56CD">
        <w:rPr>
          <w:rFonts w:ascii="Arial" w:hAnsi="Arial" w:cs="Arial"/>
          <w:noProof/>
        </w:rPr>
        <w:fldChar w:fldCharType="separate"/>
      </w:r>
      <w:r>
        <w:rPr>
          <w:rFonts w:ascii="Arial" w:hAnsi="Arial" w:cs="Arial"/>
          <w:noProof/>
        </w:rPr>
        <w:t>21</w:t>
      </w:r>
      <w:r w:rsidRPr="007B56CD">
        <w:rPr>
          <w:rFonts w:ascii="Arial" w:hAnsi="Arial" w:cs="Arial"/>
          <w:noProof/>
        </w:rPr>
        <w:fldChar w:fldCharType="end"/>
      </w:r>
    </w:p>
    <w:p w:rsidR="004F39DA" w:rsidRPr="007B56CD" w:rsidRDefault="004F39DA" w:rsidP="00611929">
      <w:pPr>
        <w:pStyle w:val="TOC2"/>
        <w:spacing w:after="100"/>
        <w:rPr>
          <w:rFonts w:ascii="Arial" w:hAnsi="Arial" w:cs="Arial"/>
          <w:noProof/>
          <w:lang w:eastAsia="ja-JP"/>
        </w:rPr>
      </w:pPr>
      <w:r w:rsidRPr="007B56CD">
        <w:rPr>
          <w:rFonts w:ascii="Arial" w:hAnsi="Arial" w:cs="Arial"/>
          <w:noProof/>
        </w:rPr>
        <w:t>B) SPESE PER TITOLI E MACROAGGREGATI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_Toc314835191 \h </w:instrText>
      </w:r>
      <w:r w:rsidRPr="007B56CD">
        <w:rPr>
          <w:rFonts w:ascii="Arial" w:hAnsi="Arial" w:cs="Arial"/>
          <w:noProof/>
        </w:rPr>
      </w:r>
      <w:r w:rsidRPr="007B56CD">
        <w:rPr>
          <w:rFonts w:ascii="Arial" w:hAnsi="Arial" w:cs="Arial"/>
          <w:noProof/>
        </w:rPr>
        <w:fldChar w:fldCharType="separate"/>
      </w:r>
      <w:r>
        <w:rPr>
          <w:rFonts w:ascii="Arial" w:hAnsi="Arial" w:cs="Arial"/>
          <w:noProof/>
        </w:rPr>
        <w:t>23</w:t>
      </w:r>
      <w:r w:rsidRPr="007B56CD">
        <w:rPr>
          <w:rFonts w:ascii="Arial" w:hAnsi="Arial" w:cs="Arial"/>
          <w:noProof/>
        </w:rPr>
        <w:fldChar w:fldCharType="end"/>
      </w:r>
    </w:p>
    <w:p w:rsidR="004F39DA" w:rsidRPr="007B56CD" w:rsidRDefault="004F39DA" w:rsidP="00611929">
      <w:pPr>
        <w:pStyle w:val="TOC3"/>
        <w:tabs>
          <w:tab w:val="right" w:leader="dot" w:pos="9718"/>
        </w:tabs>
        <w:rPr>
          <w:rFonts w:ascii="Arial" w:hAnsi="Arial" w:cs="Arial"/>
          <w:noProof/>
          <w:lang w:eastAsia="ja-JP"/>
        </w:rPr>
      </w:pPr>
      <w:r w:rsidRPr="007B56CD">
        <w:rPr>
          <w:rFonts w:ascii="Arial" w:hAnsi="Arial" w:cs="Arial"/>
          <w:noProof/>
        </w:rPr>
        <w:t>Spese di personale</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_Toc314835192 \h </w:instrText>
      </w:r>
      <w:r w:rsidRPr="007B56CD">
        <w:rPr>
          <w:rFonts w:ascii="Arial" w:hAnsi="Arial" w:cs="Arial"/>
          <w:noProof/>
        </w:rPr>
      </w:r>
      <w:r w:rsidRPr="007B56CD">
        <w:rPr>
          <w:rFonts w:ascii="Arial" w:hAnsi="Arial" w:cs="Arial"/>
          <w:noProof/>
        </w:rPr>
        <w:fldChar w:fldCharType="separate"/>
      </w:r>
      <w:r>
        <w:rPr>
          <w:rFonts w:ascii="Arial" w:hAnsi="Arial" w:cs="Arial"/>
          <w:noProof/>
        </w:rPr>
        <w:t>24</w:t>
      </w:r>
      <w:r w:rsidRPr="007B56CD">
        <w:rPr>
          <w:rFonts w:ascii="Arial" w:hAnsi="Arial" w:cs="Arial"/>
          <w:noProof/>
        </w:rPr>
        <w:fldChar w:fldCharType="end"/>
      </w:r>
    </w:p>
    <w:p w:rsidR="004F39DA" w:rsidRPr="007B56CD" w:rsidRDefault="004F39DA" w:rsidP="00611929">
      <w:pPr>
        <w:pStyle w:val="TOC3"/>
        <w:tabs>
          <w:tab w:val="right" w:leader="dot" w:pos="9718"/>
        </w:tabs>
        <w:rPr>
          <w:rFonts w:ascii="Arial" w:hAnsi="Arial" w:cs="Arial"/>
          <w:noProof/>
          <w:lang w:eastAsia="ja-JP"/>
        </w:rPr>
      </w:pPr>
      <w:r w:rsidRPr="007B56CD">
        <w:rPr>
          <w:rFonts w:ascii="Arial" w:hAnsi="Arial" w:cs="Arial"/>
          <w:noProof/>
        </w:rPr>
        <w:t xml:space="preserve">Spese per incarichi di collaborazione autonoma (art. 46 D.L. 25 giugno 2008, n. 112 - conv. nella </w:t>
      </w:r>
      <w:r>
        <w:rPr>
          <w:rFonts w:ascii="Arial" w:hAnsi="Arial" w:cs="Arial"/>
          <w:noProof/>
        </w:rPr>
        <w:t>Legge</w:t>
      </w:r>
      <w:r w:rsidRPr="007B56CD">
        <w:rPr>
          <w:rFonts w:ascii="Arial" w:hAnsi="Arial" w:cs="Arial"/>
          <w:noProof/>
        </w:rPr>
        <w:t>133/2008)</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_Toc314835193 \h </w:instrText>
      </w:r>
      <w:r w:rsidRPr="007B56CD">
        <w:rPr>
          <w:rFonts w:ascii="Arial" w:hAnsi="Arial" w:cs="Arial"/>
          <w:noProof/>
        </w:rPr>
      </w:r>
      <w:r w:rsidRPr="007B56CD">
        <w:rPr>
          <w:rFonts w:ascii="Arial" w:hAnsi="Arial" w:cs="Arial"/>
          <w:noProof/>
        </w:rPr>
        <w:fldChar w:fldCharType="separate"/>
      </w:r>
      <w:r>
        <w:rPr>
          <w:rFonts w:ascii="Arial" w:hAnsi="Arial" w:cs="Arial"/>
          <w:noProof/>
        </w:rPr>
        <w:t>25</w:t>
      </w:r>
      <w:r w:rsidRPr="007B56CD">
        <w:rPr>
          <w:rFonts w:ascii="Arial" w:hAnsi="Arial" w:cs="Arial"/>
          <w:noProof/>
        </w:rPr>
        <w:fldChar w:fldCharType="end"/>
      </w:r>
    </w:p>
    <w:p w:rsidR="004F39DA" w:rsidRPr="007B56CD" w:rsidRDefault="004F39DA" w:rsidP="00611929">
      <w:pPr>
        <w:pStyle w:val="TOC3"/>
        <w:tabs>
          <w:tab w:val="right" w:leader="dot" w:pos="9718"/>
        </w:tabs>
        <w:rPr>
          <w:rFonts w:ascii="Arial" w:hAnsi="Arial" w:cs="Arial"/>
          <w:noProof/>
          <w:lang w:eastAsia="ja-JP"/>
        </w:rPr>
      </w:pPr>
      <w:r w:rsidRPr="007B56CD">
        <w:rPr>
          <w:rFonts w:ascii="Arial" w:hAnsi="Arial" w:cs="Arial"/>
          <w:noProof/>
        </w:rPr>
        <w:t>Spese per acquisto beni e servizi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_Toc314835194 \h </w:instrText>
      </w:r>
      <w:r w:rsidRPr="007B56CD">
        <w:rPr>
          <w:rFonts w:ascii="Arial" w:hAnsi="Arial" w:cs="Arial"/>
          <w:noProof/>
        </w:rPr>
      </w:r>
      <w:r w:rsidRPr="007B56CD">
        <w:rPr>
          <w:rFonts w:ascii="Arial" w:hAnsi="Arial" w:cs="Arial"/>
          <w:noProof/>
        </w:rPr>
        <w:fldChar w:fldCharType="separate"/>
      </w:r>
      <w:r>
        <w:rPr>
          <w:rFonts w:ascii="Arial" w:hAnsi="Arial" w:cs="Arial"/>
          <w:noProof/>
        </w:rPr>
        <w:t>25</w:t>
      </w:r>
      <w:r w:rsidRPr="007B56CD">
        <w:rPr>
          <w:rFonts w:ascii="Arial" w:hAnsi="Arial" w:cs="Arial"/>
          <w:noProof/>
        </w:rPr>
        <w:fldChar w:fldCharType="end"/>
      </w:r>
    </w:p>
    <w:p w:rsidR="004F39DA" w:rsidRPr="007B56CD" w:rsidRDefault="004F39DA" w:rsidP="00611929">
      <w:pPr>
        <w:pStyle w:val="TOC3"/>
        <w:tabs>
          <w:tab w:val="right" w:leader="dot" w:pos="9718"/>
        </w:tabs>
        <w:rPr>
          <w:rFonts w:ascii="Arial" w:hAnsi="Arial" w:cs="Arial"/>
          <w:noProof/>
          <w:lang w:eastAsia="ja-JP"/>
        </w:rPr>
      </w:pPr>
      <w:r w:rsidRPr="007B56CD">
        <w:rPr>
          <w:rFonts w:ascii="Arial" w:hAnsi="Arial" w:cs="Arial"/>
          <w:noProof/>
        </w:rPr>
        <w:t>Fondo crediti di dubbia esigibilità</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_Toc314835195 \h </w:instrText>
      </w:r>
      <w:r w:rsidRPr="007B56CD">
        <w:rPr>
          <w:rFonts w:ascii="Arial" w:hAnsi="Arial" w:cs="Arial"/>
          <w:noProof/>
        </w:rPr>
      </w:r>
      <w:r w:rsidRPr="007B56CD">
        <w:rPr>
          <w:rFonts w:ascii="Arial" w:hAnsi="Arial" w:cs="Arial"/>
          <w:noProof/>
        </w:rPr>
        <w:fldChar w:fldCharType="separate"/>
      </w:r>
      <w:r>
        <w:rPr>
          <w:rFonts w:ascii="Arial" w:hAnsi="Arial" w:cs="Arial"/>
          <w:noProof/>
        </w:rPr>
        <w:t>25</w:t>
      </w:r>
      <w:r w:rsidRPr="007B56CD">
        <w:rPr>
          <w:rFonts w:ascii="Arial" w:hAnsi="Arial" w:cs="Arial"/>
          <w:noProof/>
        </w:rPr>
        <w:fldChar w:fldCharType="end"/>
      </w:r>
    </w:p>
    <w:p w:rsidR="004F39DA" w:rsidRPr="007B56CD" w:rsidRDefault="004F39DA" w:rsidP="00611929">
      <w:pPr>
        <w:pStyle w:val="TOC3"/>
        <w:tabs>
          <w:tab w:val="right" w:leader="dot" w:pos="9718"/>
        </w:tabs>
        <w:rPr>
          <w:rFonts w:ascii="Arial" w:hAnsi="Arial" w:cs="Arial"/>
          <w:noProof/>
          <w:lang w:eastAsia="ja-JP"/>
        </w:rPr>
      </w:pPr>
      <w:r w:rsidRPr="007B56CD">
        <w:rPr>
          <w:rFonts w:ascii="Arial" w:hAnsi="Arial" w:cs="Arial"/>
          <w:noProof/>
        </w:rPr>
        <w:t>Fondo di riserva di competenza</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_Toc314835196 \h </w:instrText>
      </w:r>
      <w:r w:rsidRPr="007B56CD">
        <w:rPr>
          <w:rFonts w:ascii="Arial" w:hAnsi="Arial" w:cs="Arial"/>
          <w:noProof/>
        </w:rPr>
      </w:r>
      <w:r w:rsidRPr="007B56CD">
        <w:rPr>
          <w:rFonts w:ascii="Arial" w:hAnsi="Arial" w:cs="Arial"/>
          <w:noProof/>
        </w:rPr>
        <w:fldChar w:fldCharType="separate"/>
      </w:r>
      <w:r>
        <w:rPr>
          <w:rFonts w:ascii="Arial" w:hAnsi="Arial" w:cs="Arial"/>
          <w:noProof/>
        </w:rPr>
        <w:t>29</w:t>
      </w:r>
      <w:r w:rsidRPr="007B56CD">
        <w:rPr>
          <w:rFonts w:ascii="Arial" w:hAnsi="Arial" w:cs="Arial"/>
          <w:noProof/>
        </w:rPr>
        <w:fldChar w:fldCharType="end"/>
      </w:r>
    </w:p>
    <w:p w:rsidR="004F39DA" w:rsidRPr="007B56CD" w:rsidRDefault="004F39DA" w:rsidP="00611929">
      <w:pPr>
        <w:pStyle w:val="TOC3"/>
        <w:tabs>
          <w:tab w:val="right" w:leader="dot" w:pos="9718"/>
        </w:tabs>
        <w:rPr>
          <w:rFonts w:ascii="Arial" w:hAnsi="Arial" w:cs="Arial"/>
          <w:noProof/>
          <w:lang w:eastAsia="ja-JP"/>
        </w:rPr>
      </w:pPr>
      <w:r w:rsidRPr="007B56CD">
        <w:rPr>
          <w:rFonts w:ascii="Arial" w:hAnsi="Arial" w:cs="Arial"/>
          <w:noProof/>
        </w:rPr>
        <w:t>Fondi per spese potenziali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_Toc314835197 \h </w:instrText>
      </w:r>
      <w:r w:rsidRPr="007B56CD">
        <w:rPr>
          <w:rFonts w:ascii="Arial" w:hAnsi="Arial" w:cs="Arial"/>
          <w:noProof/>
        </w:rPr>
      </w:r>
      <w:r w:rsidRPr="007B56CD">
        <w:rPr>
          <w:rFonts w:ascii="Arial" w:hAnsi="Arial" w:cs="Arial"/>
          <w:noProof/>
        </w:rPr>
        <w:fldChar w:fldCharType="separate"/>
      </w:r>
      <w:r>
        <w:rPr>
          <w:rFonts w:ascii="Arial" w:hAnsi="Arial" w:cs="Arial"/>
          <w:b/>
          <w:bCs/>
          <w:noProof/>
        </w:rPr>
        <w:t>Errore. Il segnalibro non è definito.</w:t>
      </w:r>
      <w:r w:rsidRPr="007B56CD">
        <w:rPr>
          <w:rFonts w:ascii="Arial" w:hAnsi="Arial" w:cs="Arial"/>
          <w:noProof/>
        </w:rPr>
        <w:fldChar w:fldCharType="end"/>
      </w:r>
    </w:p>
    <w:p w:rsidR="004F39DA" w:rsidRPr="007B56CD" w:rsidRDefault="004F39DA" w:rsidP="00611929">
      <w:pPr>
        <w:pStyle w:val="TOC3"/>
        <w:tabs>
          <w:tab w:val="right" w:leader="dot" w:pos="9718"/>
        </w:tabs>
        <w:rPr>
          <w:rFonts w:ascii="Arial" w:hAnsi="Arial" w:cs="Arial"/>
          <w:noProof/>
          <w:lang w:eastAsia="ja-JP"/>
        </w:rPr>
      </w:pPr>
      <w:r w:rsidRPr="007B56CD">
        <w:rPr>
          <w:rFonts w:ascii="Arial" w:hAnsi="Arial" w:cs="Arial"/>
          <w:noProof/>
        </w:rPr>
        <w:t>Fondo di riserva di cassa</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_Toc314835198 \h </w:instrText>
      </w:r>
      <w:r w:rsidRPr="007B56CD">
        <w:rPr>
          <w:rFonts w:ascii="Arial" w:hAnsi="Arial" w:cs="Arial"/>
          <w:noProof/>
        </w:rPr>
      </w:r>
      <w:r w:rsidRPr="007B56CD">
        <w:rPr>
          <w:rFonts w:ascii="Arial" w:hAnsi="Arial" w:cs="Arial"/>
          <w:noProof/>
        </w:rPr>
        <w:fldChar w:fldCharType="separate"/>
      </w:r>
      <w:r>
        <w:rPr>
          <w:rFonts w:ascii="Arial" w:hAnsi="Arial" w:cs="Arial"/>
          <w:noProof/>
        </w:rPr>
        <w:t>29</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ORGANISMI PARTECIPATI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_Toc314835199 \h </w:instrText>
      </w:r>
      <w:r w:rsidRPr="007B56CD">
        <w:rPr>
          <w:rFonts w:ascii="Arial" w:hAnsi="Arial" w:cs="Arial"/>
          <w:noProof/>
        </w:rPr>
      </w:r>
      <w:r w:rsidRPr="007B56CD">
        <w:rPr>
          <w:rFonts w:ascii="Arial" w:hAnsi="Arial" w:cs="Arial"/>
          <w:noProof/>
        </w:rPr>
        <w:fldChar w:fldCharType="separate"/>
      </w:r>
      <w:r>
        <w:rPr>
          <w:rFonts w:ascii="Arial" w:hAnsi="Arial" w:cs="Arial"/>
          <w:b/>
          <w:bCs/>
          <w:noProof/>
        </w:rPr>
        <w:t>Errore. Il segnalibro non è definito.</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SPESE IN CONTO CAPITALE</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_Toc314835200 \h </w:instrText>
      </w:r>
      <w:r w:rsidRPr="007B56CD">
        <w:rPr>
          <w:rFonts w:ascii="Arial" w:hAnsi="Arial" w:cs="Arial"/>
          <w:noProof/>
        </w:rPr>
      </w:r>
      <w:r w:rsidRPr="007B56CD">
        <w:rPr>
          <w:rFonts w:ascii="Arial" w:hAnsi="Arial" w:cs="Arial"/>
          <w:noProof/>
        </w:rPr>
        <w:fldChar w:fldCharType="separate"/>
      </w:r>
      <w:r>
        <w:rPr>
          <w:rFonts w:ascii="Arial" w:hAnsi="Arial" w:cs="Arial"/>
          <w:noProof/>
        </w:rPr>
        <w:t>30</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INDEBITAMENTO</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_Toc314835201 \h </w:instrText>
      </w:r>
      <w:r w:rsidRPr="007B56CD">
        <w:rPr>
          <w:rFonts w:ascii="Arial" w:hAnsi="Arial" w:cs="Arial"/>
          <w:noProof/>
        </w:rPr>
      </w:r>
      <w:r w:rsidRPr="007B56CD">
        <w:rPr>
          <w:rFonts w:ascii="Arial" w:hAnsi="Arial" w:cs="Arial"/>
          <w:noProof/>
        </w:rPr>
        <w:fldChar w:fldCharType="separate"/>
      </w:r>
      <w:r>
        <w:rPr>
          <w:rFonts w:ascii="Arial" w:hAnsi="Arial" w:cs="Arial"/>
          <w:noProof/>
        </w:rPr>
        <w:t>31</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OSSERVAZIONI E SUGGERIMENTI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_Toc314835202 \h </w:instrText>
      </w:r>
      <w:r w:rsidRPr="007B56CD">
        <w:rPr>
          <w:rFonts w:ascii="Arial" w:hAnsi="Arial" w:cs="Arial"/>
          <w:noProof/>
        </w:rPr>
      </w:r>
      <w:r w:rsidRPr="007B56CD">
        <w:rPr>
          <w:rFonts w:ascii="Arial" w:hAnsi="Arial" w:cs="Arial"/>
          <w:noProof/>
        </w:rPr>
        <w:fldChar w:fldCharType="separate"/>
      </w:r>
      <w:r>
        <w:rPr>
          <w:rFonts w:ascii="Arial" w:hAnsi="Arial" w:cs="Arial"/>
          <w:noProof/>
        </w:rPr>
        <w:t>33</w:t>
      </w:r>
      <w:r w:rsidRPr="007B56CD">
        <w:rPr>
          <w:rFonts w:ascii="Arial" w:hAnsi="Arial" w:cs="Arial"/>
          <w:noProof/>
        </w:rPr>
        <w:fldChar w:fldCharType="end"/>
      </w:r>
    </w:p>
    <w:p w:rsidR="004F39DA" w:rsidRPr="007B56CD" w:rsidRDefault="004F39DA" w:rsidP="00611929">
      <w:pPr>
        <w:pStyle w:val="TOC1"/>
        <w:tabs>
          <w:tab w:val="right" w:leader="dot" w:pos="9718"/>
        </w:tabs>
        <w:spacing w:after="100"/>
        <w:rPr>
          <w:rFonts w:ascii="Arial" w:hAnsi="Arial" w:cs="Arial"/>
          <w:noProof/>
          <w:lang w:eastAsia="ja-JP"/>
        </w:rPr>
      </w:pPr>
      <w:r w:rsidRPr="007B56CD">
        <w:rPr>
          <w:rFonts w:ascii="Arial" w:hAnsi="Arial" w:cs="Arial"/>
          <w:noProof/>
        </w:rPr>
        <w:t>CONCLUSIONI</w:t>
      </w:r>
      <w:r w:rsidRPr="007B56CD">
        <w:rPr>
          <w:rFonts w:ascii="Arial" w:hAnsi="Arial" w:cs="Arial"/>
          <w:noProof/>
        </w:rPr>
        <w:tab/>
      </w:r>
      <w:r w:rsidRPr="007B56CD">
        <w:rPr>
          <w:rFonts w:ascii="Arial" w:hAnsi="Arial" w:cs="Arial"/>
          <w:noProof/>
        </w:rPr>
        <w:fldChar w:fldCharType="begin"/>
      </w:r>
      <w:r w:rsidRPr="007B56CD">
        <w:rPr>
          <w:rFonts w:ascii="Arial" w:hAnsi="Arial" w:cs="Arial"/>
          <w:noProof/>
        </w:rPr>
        <w:instrText xml:space="preserve"> PAGEREF _Toc314835203 \h </w:instrText>
      </w:r>
      <w:r w:rsidRPr="007B56CD">
        <w:rPr>
          <w:rFonts w:ascii="Arial" w:hAnsi="Arial" w:cs="Arial"/>
          <w:noProof/>
        </w:rPr>
      </w:r>
      <w:r w:rsidRPr="007B56CD">
        <w:rPr>
          <w:rFonts w:ascii="Arial" w:hAnsi="Arial" w:cs="Arial"/>
          <w:noProof/>
        </w:rPr>
        <w:fldChar w:fldCharType="separate"/>
      </w:r>
      <w:r>
        <w:rPr>
          <w:rFonts w:ascii="Arial" w:hAnsi="Arial" w:cs="Arial"/>
          <w:noProof/>
        </w:rPr>
        <w:t>35</w:t>
      </w:r>
      <w:r w:rsidRPr="007B56CD">
        <w:rPr>
          <w:rFonts w:ascii="Arial" w:hAnsi="Arial" w:cs="Arial"/>
          <w:noProof/>
        </w:rPr>
        <w:fldChar w:fldCharType="end"/>
      </w:r>
    </w:p>
    <w:p w:rsidR="004F39DA" w:rsidRPr="00632A65" w:rsidRDefault="004F39DA" w:rsidP="00611929">
      <w:pPr>
        <w:spacing w:after="100"/>
        <w:rPr>
          <w:rFonts w:ascii="Arial" w:hAnsi="Arial" w:cs="Arial"/>
        </w:rPr>
      </w:pPr>
      <w:r w:rsidRPr="007B56CD">
        <w:rPr>
          <w:rFonts w:ascii="Arial" w:hAnsi="Arial" w:cs="Arial"/>
        </w:rPr>
        <w:fldChar w:fldCharType="end"/>
      </w:r>
    </w:p>
    <w:p w:rsidR="004F39DA" w:rsidRPr="00632A65" w:rsidRDefault="004F39DA" w:rsidP="003D76D9">
      <w:pPr>
        <w:rPr>
          <w:rFonts w:ascii="Arial" w:hAnsi="Arial" w:cs="Arial"/>
          <w:b/>
          <w:sz w:val="22"/>
          <w:szCs w:val="22"/>
        </w:rPr>
      </w:pPr>
    </w:p>
    <w:p w:rsidR="004F39DA" w:rsidRPr="00632A65" w:rsidRDefault="004F39DA" w:rsidP="003D76D9">
      <w:pPr>
        <w:rPr>
          <w:rFonts w:ascii="Arial" w:hAnsi="Arial" w:cs="Arial"/>
          <w:b/>
          <w:sz w:val="22"/>
          <w:szCs w:val="22"/>
        </w:rPr>
      </w:pPr>
    </w:p>
    <w:p w:rsidR="004F39DA" w:rsidRPr="00632A65" w:rsidRDefault="004F39DA" w:rsidP="003D76D9">
      <w:pPr>
        <w:pStyle w:val="cpv"/>
        <w:widowControl/>
        <w:spacing w:before="220"/>
        <w:jc w:val="center"/>
        <w:rPr>
          <w:rFonts w:ascii="Arial" w:hAnsi="Arial" w:cs="Arial"/>
          <w:b/>
          <w:sz w:val="22"/>
          <w:szCs w:val="22"/>
        </w:rPr>
      </w:pPr>
    </w:p>
    <w:p w:rsidR="004F39DA" w:rsidRPr="00632A65" w:rsidRDefault="004F39DA" w:rsidP="003D76D9">
      <w:pPr>
        <w:pStyle w:val="cpv"/>
        <w:widowControl/>
        <w:spacing w:before="220"/>
        <w:jc w:val="center"/>
        <w:rPr>
          <w:rFonts w:ascii="Arial" w:hAnsi="Arial" w:cs="Arial"/>
          <w:b/>
          <w:sz w:val="32"/>
        </w:rPr>
      </w:pPr>
    </w:p>
    <w:p w:rsidR="004F39DA" w:rsidRPr="00632A65" w:rsidRDefault="004F39DA" w:rsidP="003D76D9">
      <w:pPr>
        <w:rPr>
          <w:rFonts w:ascii="Arial" w:hAnsi="Arial" w:cs="Arial"/>
          <w:b/>
          <w:sz w:val="32"/>
          <w:szCs w:val="20"/>
        </w:rPr>
      </w:pPr>
      <w:r w:rsidRPr="00632A65">
        <w:rPr>
          <w:rFonts w:ascii="Arial" w:hAnsi="Arial" w:cs="Arial"/>
          <w:b/>
          <w:sz w:val="32"/>
        </w:rPr>
        <w:br w:type="page"/>
      </w:r>
    </w:p>
    <w:p w:rsidR="004F39DA" w:rsidRPr="00632A65" w:rsidRDefault="004F39DA" w:rsidP="003D76D9">
      <w:pPr>
        <w:pStyle w:val="Heading1"/>
        <w:shd w:val="clear" w:color="auto" w:fill="B6DDE8"/>
        <w:rPr>
          <w:rStyle w:val="Tabellagriglia1chiara1"/>
          <w:bCs/>
        </w:rPr>
      </w:pPr>
      <w:bookmarkStart w:id="1" w:name="_VERIFICHE_PRELIMINARI"/>
      <w:bookmarkStart w:id="2" w:name="_Toc346838815"/>
      <w:bookmarkStart w:id="3" w:name="_Toc314835175"/>
      <w:bookmarkEnd w:id="1"/>
      <w:r w:rsidRPr="00632A65">
        <w:rPr>
          <w:rStyle w:val="Tabellagriglia1chiara1"/>
          <w:bCs/>
        </w:rPr>
        <w:t>PREMESSA E VERIFICHE PRELIMINARI</w:t>
      </w:r>
      <w:bookmarkEnd w:id="2"/>
      <w:bookmarkEnd w:id="3"/>
    </w:p>
    <w:p w:rsidR="004F39DA" w:rsidRPr="00632A65" w:rsidRDefault="004F39DA" w:rsidP="003D76D9">
      <w:pPr>
        <w:spacing w:after="120"/>
        <w:jc w:val="both"/>
        <w:rPr>
          <w:rFonts w:ascii="Arial" w:hAnsi="Arial" w:cs="Arial"/>
          <w:sz w:val="22"/>
          <w:szCs w:val="22"/>
        </w:rPr>
      </w:pPr>
      <w:r>
        <w:rPr>
          <w:rFonts w:ascii="Arial" w:hAnsi="Arial" w:cs="Arial"/>
          <w:sz w:val="22"/>
          <w:szCs w:val="22"/>
        </w:rPr>
        <w:t>Il Revisore dei Conti</w:t>
      </w:r>
      <w:r w:rsidRPr="00632A65">
        <w:rPr>
          <w:rFonts w:ascii="Arial" w:hAnsi="Arial" w:cs="Arial"/>
          <w:sz w:val="22"/>
          <w:szCs w:val="22"/>
        </w:rPr>
        <w:t xml:space="preserve"> del Comune di </w:t>
      </w:r>
      <w:r>
        <w:rPr>
          <w:rFonts w:ascii="Arial" w:hAnsi="Arial" w:cs="Arial"/>
          <w:sz w:val="22"/>
          <w:szCs w:val="22"/>
        </w:rPr>
        <w:t xml:space="preserve">Perfugas </w:t>
      </w:r>
      <w:r w:rsidRPr="00632A65">
        <w:rPr>
          <w:rFonts w:ascii="Arial" w:hAnsi="Arial" w:cs="Arial"/>
          <w:sz w:val="22"/>
          <w:szCs w:val="22"/>
        </w:rPr>
        <w:t xml:space="preserve">nominato con delibera </w:t>
      </w:r>
      <w:r w:rsidRPr="003457BB">
        <w:rPr>
          <w:rFonts w:ascii="Arial" w:hAnsi="Arial" w:cs="Arial"/>
          <w:sz w:val="22"/>
          <w:szCs w:val="22"/>
        </w:rPr>
        <w:t>consigliare n. 52 del 29/12/2014</w:t>
      </w:r>
    </w:p>
    <w:p w:rsidR="004F39DA" w:rsidRPr="00632A65" w:rsidRDefault="004F39DA" w:rsidP="003D76D9">
      <w:pPr>
        <w:spacing w:after="120"/>
        <w:jc w:val="both"/>
        <w:rPr>
          <w:rFonts w:ascii="Arial" w:hAnsi="Arial" w:cs="Arial"/>
          <w:sz w:val="22"/>
          <w:szCs w:val="22"/>
        </w:rPr>
      </w:pPr>
      <w:r w:rsidRPr="00632A65">
        <w:rPr>
          <w:rFonts w:ascii="Arial" w:hAnsi="Arial" w:cs="Arial"/>
          <w:sz w:val="22"/>
          <w:szCs w:val="22"/>
        </w:rPr>
        <w:t>Premesso che l’ente deve redigere il bilancio di previsione rispettando il titolo II del d.lgs.</w:t>
      </w:r>
      <w:r>
        <w:rPr>
          <w:rFonts w:ascii="Arial" w:hAnsi="Arial" w:cs="Arial"/>
          <w:sz w:val="22"/>
          <w:szCs w:val="22"/>
        </w:rPr>
        <w:t xml:space="preserve"> </w:t>
      </w:r>
      <w:r w:rsidRPr="00632A65">
        <w:rPr>
          <w:rFonts w:ascii="Arial" w:hAnsi="Arial" w:cs="Arial"/>
          <w:sz w:val="22"/>
          <w:szCs w:val="22"/>
        </w:rPr>
        <w:t>267/2000 (</w:t>
      </w:r>
      <w:r>
        <w:rPr>
          <w:rFonts w:ascii="Arial" w:hAnsi="Arial" w:cs="Arial"/>
          <w:sz w:val="22"/>
          <w:szCs w:val="22"/>
        </w:rPr>
        <w:t>TUEL</w:t>
      </w:r>
      <w:r w:rsidRPr="00632A65">
        <w:rPr>
          <w:rFonts w:ascii="Arial" w:hAnsi="Arial" w:cs="Arial"/>
          <w:sz w:val="22"/>
          <w:szCs w:val="22"/>
        </w:rPr>
        <w:t>), i principi contabili generali e applicati alla contabilità finanziaria, lo schema di bilancio allegato 9) al d.lgs.118/2011.</w:t>
      </w:r>
    </w:p>
    <w:p w:rsidR="004F39DA" w:rsidRPr="00632A65" w:rsidRDefault="004F39DA" w:rsidP="003D76D9">
      <w:pPr>
        <w:rPr>
          <w:rFonts w:ascii="Arial" w:hAnsi="Arial" w:cs="Arial"/>
          <w:sz w:val="22"/>
          <w:szCs w:val="22"/>
        </w:rPr>
      </w:pPr>
    </w:p>
    <w:p w:rsidR="004F39DA" w:rsidRPr="00632A65" w:rsidRDefault="004F39DA" w:rsidP="003D76D9">
      <w:pPr>
        <w:numPr>
          <w:ilvl w:val="0"/>
          <w:numId w:val="1"/>
        </w:numPr>
        <w:tabs>
          <w:tab w:val="left" w:pos="360"/>
          <w:tab w:val="left" w:pos="426"/>
        </w:tabs>
        <w:spacing w:after="120"/>
        <w:ind w:hanging="357"/>
        <w:jc w:val="both"/>
        <w:rPr>
          <w:rFonts w:ascii="Arial" w:hAnsi="Arial" w:cs="Arial"/>
          <w:sz w:val="22"/>
          <w:szCs w:val="22"/>
        </w:rPr>
      </w:pPr>
      <w:r w:rsidRPr="00632A65">
        <w:rPr>
          <w:rFonts w:ascii="Arial" w:hAnsi="Arial" w:cs="Arial"/>
          <w:sz w:val="22"/>
          <w:szCs w:val="22"/>
        </w:rPr>
        <w:t xml:space="preserve">ha ricevuto in data </w:t>
      </w:r>
      <w:r>
        <w:rPr>
          <w:rFonts w:ascii="Arial" w:hAnsi="Arial" w:cs="Arial"/>
          <w:sz w:val="22"/>
          <w:szCs w:val="22"/>
        </w:rPr>
        <w:t>odierna</w:t>
      </w:r>
      <w:r w:rsidRPr="00632A65">
        <w:rPr>
          <w:rFonts w:ascii="Arial" w:hAnsi="Arial" w:cs="Arial"/>
          <w:sz w:val="22"/>
          <w:szCs w:val="22"/>
        </w:rPr>
        <w:t xml:space="preserve"> lo schema del bilancio di previsione per gli esercizi 2016-2018, approvato dalla giunta comunale in data </w:t>
      </w:r>
      <w:r>
        <w:rPr>
          <w:rFonts w:ascii="Arial" w:hAnsi="Arial" w:cs="Arial"/>
          <w:sz w:val="22"/>
          <w:szCs w:val="22"/>
        </w:rPr>
        <w:t xml:space="preserve">08/04/2016 </w:t>
      </w:r>
      <w:r w:rsidRPr="00632A65">
        <w:rPr>
          <w:rFonts w:ascii="Arial" w:hAnsi="Arial" w:cs="Arial"/>
          <w:sz w:val="22"/>
          <w:szCs w:val="22"/>
        </w:rPr>
        <w:t xml:space="preserve">con delibera n. </w:t>
      </w:r>
      <w:r>
        <w:rPr>
          <w:rFonts w:ascii="Arial" w:hAnsi="Arial" w:cs="Arial"/>
          <w:sz w:val="22"/>
          <w:szCs w:val="22"/>
        </w:rPr>
        <w:t xml:space="preserve">32 </w:t>
      </w:r>
      <w:r w:rsidRPr="00632A65">
        <w:rPr>
          <w:rFonts w:ascii="Arial" w:hAnsi="Arial" w:cs="Arial"/>
          <w:sz w:val="22"/>
          <w:szCs w:val="22"/>
        </w:rPr>
        <w:t>completo dei seguenti allegati obbligatori indicati</w:t>
      </w:r>
    </w:p>
    <w:p w:rsidR="004F39DA" w:rsidRPr="00632A65" w:rsidRDefault="004F39DA" w:rsidP="003D76D9">
      <w:pPr>
        <w:numPr>
          <w:ilvl w:val="0"/>
          <w:numId w:val="1"/>
        </w:numPr>
        <w:tabs>
          <w:tab w:val="left" w:pos="360"/>
          <w:tab w:val="left" w:pos="426"/>
        </w:tabs>
        <w:spacing w:after="120"/>
        <w:ind w:hanging="357"/>
        <w:jc w:val="both"/>
        <w:rPr>
          <w:rFonts w:ascii="Arial" w:hAnsi="Arial" w:cs="Arial"/>
          <w:sz w:val="22"/>
          <w:szCs w:val="22"/>
        </w:rPr>
      </w:pPr>
      <w:r w:rsidRPr="00632A65">
        <w:rPr>
          <w:rFonts w:ascii="Arial" w:hAnsi="Arial" w:cs="Arial"/>
          <w:b/>
          <w:sz w:val="22"/>
          <w:szCs w:val="22"/>
        </w:rPr>
        <w:t>nell’art.11, comma 3 del d.lgs.118/2011</w:t>
      </w:r>
      <w:r w:rsidRPr="00632A65">
        <w:rPr>
          <w:rFonts w:ascii="Arial" w:hAnsi="Arial" w:cs="Arial"/>
          <w:sz w:val="22"/>
          <w:szCs w:val="22"/>
        </w:rPr>
        <w:t>:</w:t>
      </w:r>
    </w:p>
    <w:p w:rsidR="004F39DA" w:rsidRPr="00632A65" w:rsidRDefault="004F39DA" w:rsidP="00123C77">
      <w:pPr>
        <w:tabs>
          <w:tab w:val="left" w:pos="360"/>
          <w:tab w:val="left" w:pos="426"/>
        </w:tabs>
        <w:ind w:left="862" w:hanging="357"/>
        <w:jc w:val="both"/>
        <w:rPr>
          <w:rFonts w:ascii="Arial" w:hAnsi="Arial" w:cs="Arial"/>
          <w:sz w:val="22"/>
          <w:szCs w:val="22"/>
        </w:rPr>
      </w:pPr>
      <w:r w:rsidRPr="00632A65">
        <w:rPr>
          <w:rFonts w:ascii="Arial" w:hAnsi="Arial" w:cs="Arial"/>
          <w:sz w:val="22"/>
          <w:szCs w:val="22"/>
        </w:rPr>
        <w:t>a)</w:t>
      </w:r>
      <w:r w:rsidRPr="00632A65">
        <w:rPr>
          <w:rFonts w:ascii="Arial" w:hAnsi="Arial" w:cs="Arial"/>
          <w:sz w:val="22"/>
          <w:szCs w:val="22"/>
        </w:rPr>
        <w:tab/>
        <w:t xml:space="preserve"> il prospetto esplicativo del presunto risultato di amministrazione dell’esercizio 2015; </w:t>
      </w:r>
    </w:p>
    <w:p w:rsidR="004F39DA" w:rsidRPr="00632A65" w:rsidRDefault="004F39DA" w:rsidP="00123C77">
      <w:pPr>
        <w:tabs>
          <w:tab w:val="left" w:pos="360"/>
          <w:tab w:val="left" w:pos="426"/>
        </w:tabs>
        <w:ind w:left="862" w:hanging="357"/>
        <w:jc w:val="both"/>
        <w:rPr>
          <w:rFonts w:ascii="Arial" w:hAnsi="Arial" w:cs="Arial"/>
          <w:sz w:val="22"/>
          <w:szCs w:val="22"/>
        </w:rPr>
      </w:pPr>
    </w:p>
    <w:p w:rsidR="004F39DA" w:rsidRPr="00632A65" w:rsidRDefault="004F39DA" w:rsidP="00123C77">
      <w:pPr>
        <w:tabs>
          <w:tab w:val="left" w:pos="360"/>
          <w:tab w:val="left" w:pos="426"/>
        </w:tabs>
        <w:ind w:left="862" w:hanging="357"/>
        <w:jc w:val="both"/>
        <w:rPr>
          <w:rFonts w:ascii="Arial" w:hAnsi="Arial" w:cs="Arial"/>
          <w:sz w:val="22"/>
          <w:szCs w:val="22"/>
        </w:rPr>
      </w:pPr>
      <w:r w:rsidRPr="00632A65">
        <w:rPr>
          <w:rFonts w:ascii="Arial" w:hAnsi="Arial" w:cs="Arial"/>
          <w:sz w:val="22"/>
          <w:szCs w:val="22"/>
        </w:rPr>
        <w:t>b)</w:t>
      </w:r>
      <w:r w:rsidRPr="00632A65">
        <w:rPr>
          <w:rFonts w:ascii="Arial" w:hAnsi="Arial" w:cs="Arial"/>
          <w:sz w:val="22"/>
          <w:szCs w:val="22"/>
        </w:rPr>
        <w:tab/>
        <w:t xml:space="preserve"> il prospetto concernente la composizione, per missioni e programmi, del fondo pluriennale vincolato per ciascuno degli esercizi considerati nel bilancio di previsione; </w:t>
      </w:r>
    </w:p>
    <w:p w:rsidR="004F39DA" w:rsidRPr="00632A65" w:rsidRDefault="004F39DA" w:rsidP="00123C77">
      <w:pPr>
        <w:tabs>
          <w:tab w:val="left" w:pos="360"/>
          <w:tab w:val="left" w:pos="426"/>
        </w:tabs>
        <w:ind w:left="862" w:hanging="357"/>
        <w:jc w:val="both"/>
        <w:rPr>
          <w:rFonts w:ascii="Arial" w:hAnsi="Arial" w:cs="Arial"/>
          <w:sz w:val="22"/>
          <w:szCs w:val="22"/>
        </w:rPr>
      </w:pPr>
    </w:p>
    <w:p w:rsidR="004F39DA" w:rsidRPr="00632A65" w:rsidRDefault="004F39DA" w:rsidP="00123C77">
      <w:pPr>
        <w:tabs>
          <w:tab w:val="left" w:pos="360"/>
          <w:tab w:val="left" w:pos="426"/>
        </w:tabs>
        <w:ind w:left="862" w:hanging="357"/>
        <w:jc w:val="both"/>
        <w:rPr>
          <w:rFonts w:ascii="Arial" w:hAnsi="Arial" w:cs="Arial"/>
          <w:sz w:val="22"/>
          <w:szCs w:val="22"/>
        </w:rPr>
      </w:pPr>
      <w:r w:rsidRPr="00632A65">
        <w:rPr>
          <w:rFonts w:ascii="Arial" w:hAnsi="Arial" w:cs="Arial"/>
          <w:sz w:val="22"/>
          <w:szCs w:val="22"/>
        </w:rPr>
        <w:t>c)</w:t>
      </w:r>
      <w:r w:rsidRPr="00632A65">
        <w:rPr>
          <w:rFonts w:ascii="Arial" w:hAnsi="Arial" w:cs="Arial"/>
          <w:sz w:val="22"/>
          <w:szCs w:val="22"/>
        </w:rPr>
        <w:tab/>
        <w:t xml:space="preserve"> il prospetto concernente la composizione del fondo crediti di dubbia esigibilità per ciascuno degli esercizi considerati nel bilancio di previsione; </w:t>
      </w:r>
    </w:p>
    <w:p w:rsidR="004F39DA" w:rsidRPr="00632A65" w:rsidRDefault="004F39DA" w:rsidP="00123C77">
      <w:pPr>
        <w:tabs>
          <w:tab w:val="left" w:pos="360"/>
          <w:tab w:val="left" w:pos="426"/>
        </w:tabs>
        <w:ind w:left="862" w:hanging="357"/>
        <w:jc w:val="both"/>
        <w:rPr>
          <w:rFonts w:ascii="Arial" w:hAnsi="Arial" w:cs="Arial"/>
          <w:sz w:val="22"/>
          <w:szCs w:val="22"/>
        </w:rPr>
      </w:pPr>
    </w:p>
    <w:p w:rsidR="004F39DA" w:rsidRPr="00632A65" w:rsidRDefault="004F39DA" w:rsidP="00123C77">
      <w:pPr>
        <w:tabs>
          <w:tab w:val="left" w:pos="360"/>
          <w:tab w:val="left" w:pos="426"/>
        </w:tabs>
        <w:ind w:left="862" w:hanging="357"/>
        <w:jc w:val="both"/>
        <w:rPr>
          <w:rFonts w:ascii="Arial" w:hAnsi="Arial" w:cs="Arial"/>
          <w:sz w:val="22"/>
          <w:szCs w:val="22"/>
        </w:rPr>
      </w:pPr>
      <w:r w:rsidRPr="00632A65">
        <w:rPr>
          <w:rFonts w:ascii="Arial" w:hAnsi="Arial" w:cs="Arial"/>
          <w:sz w:val="22"/>
          <w:szCs w:val="22"/>
        </w:rPr>
        <w:t>d)</w:t>
      </w:r>
      <w:r w:rsidRPr="00632A65">
        <w:rPr>
          <w:rFonts w:ascii="Arial" w:hAnsi="Arial" w:cs="Arial"/>
          <w:sz w:val="22"/>
          <w:szCs w:val="22"/>
        </w:rPr>
        <w:tab/>
        <w:t xml:space="preserve"> il prospetto dimostrativo del rispetto dei vincoli di indebitamento; </w:t>
      </w:r>
    </w:p>
    <w:p w:rsidR="004F39DA" w:rsidRPr="00632A65" w:rsidRDefault="004F39DA" w:rsidP="00123C77">
      <w:pPr>
        <w:tabs>
          <w:tab w:val="left" w:pos="360"/>
          <w:tab w:val="left" w:pos="426"/>
        </w:tabs>
        <w:ind w:left="862" w:hanging="357"/>
        <w:jc w:val="both"/>
        <w:rPr>
          <w:rFonts w:ascii="Arial" w:hAnsi="Arial" w:cs="Arial"/>
          <w:sz w:val="22"/>
          <w:szCs w:val="22"/>
        </w:rPr>
      </w:pPr>
    </w:p>
    <w:p w:rsidR="004F39DA" w:rsidRPr="00632A65" w:rsidRDefault="004F39DA" w:rsidP="00123C77">
      <w:pPr>
        <w:tabs>
          <w:tab w:val="left" w:pos="360"/>
          <w:tab w:val="left" w:pos="426"/>
        </w:tabs>
        <w:ind w:left="862" w:hanging="357"/>
        <w:jc w:val="both"/>
        <w:rPr>
          <w:rFonts w:ascii="Arial" w:hAnsi="Arial" w:cs="Arial"/>
          <w:sz w:val="22"/>
          <w:szCs w:val="22"/>
        </w:rPr>
      </w:pPr>
      <w:r>
        <w:rPr>
          <w:rFonts w:ascii="Arial" w:hAnsi="Arial" w:cs="Arial"/>
          <w:sz w:val="22"/>
          <w:szCs w:val="22"/>
        </w:rPr>
        <w:t>e</w:t>
      </w:r>
      <w:r w:rsidRPr="00632A65">
        <w:rPr>
          <w:rFonts w:ascii="Arial" w:hAnsi="Arial" w:cs="Arial"/>
          <w:sz w:val="22"/>
          <w:szCs w:val="22"/>
        </w:rPr>
        <w:t>)</w:t>
      </w:r>
      <w:r w:rsidRPr="00632A65">
        <w:rPr>
          <w:rFonts w:ascii="Arial" w:hAnsi="Arial" w:cs="Arial"/>
          <w:sz w:val="22"/>
          <w:szCs w:val="22"/>
        </w:rPr>
        <w:tab/>
        <w:t xml:space="preserve"> il prospetto delle spese previste per lo svolgimento delle funzioni delegate dalle regioni per ciascuno degli anni considerati nel bilancio di previsione; </w:t>
      </w:r>
    </w:p>
    <w:p w:rsidR="004F39DA" w:rsidRPr="00632A65" w:rsidRDefault="004F39DA" w:rsidP="00123C77">
      <w:pPr>
        <w:tabs>
          <w:tab w:val="left" w:pos="360"/>
          <w:tab w:val="left" w:pos="426"/>
        </w:tabs>
        <w:ind w:left="862" w:hanging="357"/>
        <w:jc w:val="both"/>
        <w:rPr>
          <w:rFonts w:ascii="Arial" w:hAnsi="Arial" w:cs="Arial"/>
          <w:sz w:val="22"/>
          <w:szCs w:val="22"/>
        </w:rPr>
      </w:pPr>
    </w:p>
    <w:p w:rsidR="004F39DA" w:rsidRDefault="004F39DA" w:rsidP="00123C77">
      <w:pPr>
        <w:tabs>
          <w:tab w:val="left" w:pos="360"/>
          <w:tab w:val="left" w:pos="426"/>
        </w:tabs>
        <w:ind w:left="862" w:hanging="357"/>
        <w:jc w:val="both"/>
        <w:rPr>
          <w:rFonts w:ascii="Arial" w:hAnsi="Arial" w:cs="Arial"/>
          <w:sz w:val="22"/>
          <w:szCs w:val="22"/>
        </w:rPr>
      </w:pPr>
      <w:r>
        <w:rPr>
          <w:rFonts w:ascii="Arial" w:hAnsi="Arial" w:cs="Arial"/>
          <w:sz w:val="22"/>
          <w:szCs w:val="22"/>
        </w:rPr>
        <w:t>f</w:t>
      </w:r>
      <w:r w:rsidRPr="00632A65">
        <w:rPr>
          <w:rFonts w:ascii="Arial" w:hAnsi="Arial" w:cs="Arial"/>
          <w:sz w:val="22"/>
          <w:szCs w:val="22"/>
        </w:rPr>
        <w:t>)</w:t>
      </w:r>
      <w:r w:rsidRPr="00632A65">
        <w:rPr>
          <w:rFonts w:ascii="Arial" w:hAnsi="Arial" w:cs="Arial"/>
          <w:sz w:val="22"/>
          <w:szCs w:val="22"/>
        </w:rPr>
        <w:tab/>
        <w:t xml:space="preserve"> la nota integrativa redatta secondo le modalità previste dal comma 5 dell’art.</w:t>
      </w:r>
      <w:r>
        <w:rPr>
          <w:rFonts w:ascii="Arial" w:hAnsi="Arial" w:cs="Arial"/>
          <w:sz w:val="22"/>
          <w:szCs w:val="22"/>
        </w:rPr>
        <w:t xml:space="preserve"> </w:t>
      </w:r>
      <w:r w:rsidRPr="00632A65">
        <w:rPr>
          <w:rFonts w:ascii="Arial" w:hAnsi="Arial" w:cs="Arial"/>
          <w:sz w:val="22"/>
          <w:szCs w:val="22"/>
        </w:rPr>
        <w:t>11 del d.lgs.118/2011;</w:t>
      </w:r>
    </w:p>
    <w:p w:rsidR="004F39DA" w:rsidRPr="00632A65" w:rsidRDefault="004F39DA" w:rsidP="00123C77">
      <w:pPr>
        <w:tabs>
          <w:tab w:val="left" w:pos="360"/>
          <w:tab w:val="left" w:pos="426"/>
        </w:tabs>
        <w:ind w:left="862" w:hanging="357"/>
        <w:jc w:val="both"/>
        <w:rPr>
          <w:rFonts w:ascii="Arial" w:hAnsi="Arial" w:cs="Arial"/>
          <w:sz w:val="22"/>
          <w:szCs w:val="22"/>
        </w:rPr>
      </w:pPr>
    </w:p>
    <w:p w:rsidR="004F39DA" w:rsidRPr="00632A65" w:rsidRDefault="004F39DA" w:rsidP="003D76D9">
      <w:pPr>
        <w:numPr>
          <w:ilvl w:val="0"/>
          <w:numId w:val="1"/>
        </w:numPr>
        <w:tabs>
          <w:tab w:val="left" w:pos="360"/>
          <w:tab w:val="left" w:pos="426"/>
        </w:tabs>
        <w:spacing w:after="120"/>
        <w:ind w:hanging="357"/>
        <w:jc w:val="both"/>
        <w:rPr>
          <w:rFonts w:ascii="Arial" w:hAnsi="Arial" w:cs="Arial"/>
          <w:b/>
          <w:sz w:val="22"/>
          <w:szCs w:val="22"/>
        </w:rPr>
      </w:pPr>
      <w:r w:rsidRPr="00632A65">
        <w:rPr>
          <w:rFonts w:ascii="Arial" w:hAnsi="Arial" w:cs="Arial"/>
          <w:b/>
          <w:sz w:val="22"/>
          <w:szCs w:val="22"/>
        </w:rPr>
        <w:t>nel punto 9/3 del P.C. applicato allegato 4/2 al D.Lgs. n.118/2011 lettere e) ed f):</w:t>
      </w:r>
    </w:p>
    <w:p w:rsidR="004F39DA" w:rsidRPr="00632A65" w:rsidRDefault="004F39DA" w:rsidP="00E11CA8">
      <w:pPr>
        <w:numPr>
          <w:ilvl w:val="0"/>
          <w:numId w:val="14"/>
        </w:numPr>
        <w:tabs>
          <w:tab w:val="left" w:pos="786"/>
          <w:tab w:val="left" w:pos="851"/>
        </w:tabs>
        <w:contextualSpacing/>
        <w:jc w:val="both"/>
        <w:rPr>
          <w:rFonts w:ascii="Arial" w:hAnsi="Arial" w:cs="Arial"/>
          <w:sz w:val="22"/>
          <w:szCs w:val="22"/>
        </w:rPr>
      </w:pPr>
      <w:r w:rsidRPr="00632A65">
        <w:rPr>
          <w:rFonts w:ascii="Arial" w:hAnsi="Arial" w:cs="Arial"/>
          <w:sz w:val="22"/>
          <w:szCs w:val="22"/>
        </w:rPr>
        <w:t xml:space="preserve">il rendiconto di gestione </w:t>
      </w:r>
      <w:r>
        <w:rPr>
          <w:rFonts w:ascii="Arial" w:hAnsi="Arial" w:cs="Arial"/>
          <w:sz w:val="22"/>
          <w:szCs w:val="22"/>
        </w:rPr>
        <w:t>relativo</w:t>
      </w:r>
      <w:r w:rsidRPr="00632A65">
        <w:rPr>
          <w:rFonts w:ascii="Arial" w:hAnsi="Arial" w:cs="Arial"/>
          <w:sz w:val="22"/>
          <w:szCs w:val="22"/>
        </w:rPr>
        <w:t xml:space="preserve"> al penultimo esercizio antecedente quello cui si riferisce il bilancio di previsione, integralmente pubblicati nel sito internet dell’ente locale;</w:t>
      </w:r>
    </w:p>
    <w:p w:rsidR="004F39DA" w:rsidRPr="00632A65" w:rsidRDefault="004F39DA" w:rsidP="00123C77">
      <w:pPr>
        <w:tabs>
          <w:tab w:val="left" w:pos="786"/>
          <w:tab w:val="left" w:pos="851"/>
        </w:tabs>
        <w:ind w:left="862" w:hanging="357"/>
        <w:jc w:val="both"/>
        <w:rPr>
          <w:rFonts w:ascii="Arial" w:hAnsi="Arial" w:cs="Arial"/>
          <w:sz w:val="22"/>
          <w:szCs w:val="22"/>
        </w:rPr>
      </w:pPr>
    </w:p>
    <w:p w:rsidR="004F39DA" w:rsidRDefault="004F39DA" w:rsidP="00E11CA8">
      <w:pPr>
        <w:numPr>
          <w:ilvl w:val="0"/>
          <w:numId w:val="14"/>
        </w:numPr>
        <w:tabs>
          <w:tab w:val="left" w:pos="786"/>
          <w:tab w:val="left" w:pos="851"/>
        </w:tabs>
        <w:ind w:left="862" w:hanging="357"/>
        <w:contextualSpacing/>
        <w:jc w:val="both"/>
        <w:rPr>
          <w:rFonts w:ascii="Arial" w:hAnsi="Arial" w:cs="Arial"/>
          <w:sz w:val="22"/>
          <w:szCs w:val="22"/>
        </w:rPr>
      </w:pPr>
      <w:r w:rsidRPr="00632A65">
        <w:rPr>
          <w:rFonts w:ascii="Arial" w:hAnsi="Arial" w:cs="Arial"/>
          <w:sz w:val="22"/>
          <w:szCs w:val="22"/>
        </w:rPr>
        <w:t>le risultanze dei rendiconti delle unioni di comuni e dei soggetti considerate nel gruppo “amministrazione pubblica” di cui al principio applicato del bilancio consolidato allegato al decreto legislativo 23 giugno 2011, n. 118 e successive modificazioni e integrazioni, relativi al penultimo esercizio antecedente quello cui il bilancio si riferisce. Se tali documenti contabili sono integralmente pubblicati nei siti internet degli enti, ne è allegato l’elenco con l’indicazione dei relativi siti web istituzionali;</w:t>
      </w:r>
    </w:p>
    <w:p w:rsidR="004F39DA" w:rsidRPr="00632A65" w:rsidRDefault="004F39DA" w:rsidP="006B376A">
      <w:pPr>
        <w:tabs>
          <w:tab w:val="left" w:pos="786"/>
          <w:tab w:val="left" w:pos="851"/>
        </w:tabs>
        <w:spacing w:after="120"/>
        <w:contextualSpacing/>
        <w:jc w:val="both"/>
        <w:rPr>
          <w:rFonts w:ascii="Arial" w:hAnsi="Arial" w:cs="Arial"/>
          <w:sz w:val="22"/>
          <w:szCs w:val="22"/>
        </w:rPr>
      </w:pPr>
    </w:p>
    <w:p w:rsidR="004F39DA" w:rsidRPr="00632A65" w:rsidRDefault="004F39DA" w:rsidP="003D76D9">
      <w:pPr>
        <w:numPr>
          <w:ilvl w:val="0"/>
          <w:numId w:val="1"/>
        </w:numPr>
        <w:tabs>
          <w:tab w:val="left" w:pos="360"/>
          <w:tab w:val="left" w:pos="426"/>
        </w:tabs>
        <w:spacing w:after="120"/>
        <w:ind w:hanging="357"/>
        <w:jc w:val="both"/>
        <w:rPr>
          <w:rFonts w:ascii="Arial" w:hAnsi="Arial" w:cs="Arial"/>
          <w:b/>
          <w:sz w:val="22"/>
          <w:szCs w:val="22"/>
        </w:rPr>
      </w:pPr>
      <w:r w:rsidRPr="00632A65">
        <w:rPr>
          <w:rFonts w:ascii="Arial" w:hAnsi="Arial" w:cs="Arial"/>
          <w:sz w:val="22"/>
          <w:szCs w:val="22"/>
        </w:rPr>
        <w:t xml:space="preserve"> </w:t>
      </w:r>
      <w:r w:rsidRPr="00632A65">
        <w:rPr>
          <w:rFonts w:ascii="Arial" w:hAnsi="Arial" w:cs="Arial"/>
          <w:b/>
          <w:sz w:val="22"/>
          <w:szCs w:val="22"/>
        </w:rPr>
        <w:t>nell’art.</w:t>
      </w:r>
      <w:r>
        <w:rPr>
          <w:rFonts w:ascii="Arial" w:hAnsi="Arial" w:cs="Arial"/>
          <w:b/>
          <w:sz w:val="22"/>
          <w:szCs w:val="22"/>
        </w:rPr>
        <w:t xml:space="preserve"> </w:t>
      </w:r>
      <w:r w:rsidRPr="00632A65">
        <w:rPr>
          <w:rFonts w:ascii="Arial" w:hAnsi="Arial" w:cs="Arial"/>
          <w:b/>
          <w:sz w:val="22"/>
          <w:szCs w:val="22"/>
        </w:rPr>
        <w:t>172 del d.lgs.18/8/2000 n.267:</w:t>
      </w:r>
    </w:p>
    <w:p w:rsidR="004F39DA" w:rsidRPr="00632A65" w:rsidRDefault="004F39DA" w:rsidP="00E11CA8">
      <w:pPr>
        <w:numPr>
          <w:ilvl w:val="0"/>
          <w:numId w:val="14"/>
        </w:numPr>
        <w:tabs>
          <w:tab w:val="left" w:pos="360"/>
          <w:tab w:val="left" w:pos="426"/>
        </w:tabs>
        <w:spacing w:after="120"/>
        <w:ind w:left="862" w:hanging="357"/>
        <w:contextualSpacing/>
        <w:jc w:val="both"/>
        <w:rPr>
          <w:rFonts w:ascii="Arial" w:hAnsi="Arial" w:cs="Arial"/>
          <w:sz w:val="22"/>
          <w:szCs w:val="22"/>
        </w:rPr>
      </w:pPr>
      <w:r w:rsidRPr="00632A65">
        <w:rPr>
          <w:rFonts w:ascii="Arial" w:hAnsi="Arial" w:cs="Arial"/>
          <w:sz w:val="22"/>
          <w:szCs w:val="22"/>
        </w:rPr>
        <w:t xml:space="preserve">la deliberazione, da adottarsi annualmente prima dell'approvazione del bilancio, con la quale i comuni verificano la quantità e qualità di aree e fabbricati da destinarsi alla residenza, alle attività produttive e terziarie - ai sensi delle leggi 18 aprile 1962, n. 167, 22 ottobre 1971, n. 865, e 5 agosto 1978, n. 457, che potranno essere ceduti in proprietà od in diritto di superficie; con la stessa deliberazione i comuni stabiliscono il prezzo di cessione per ciascun tipo di area o di fabbricato; </w:t>
      </w:r>
    </w:p>
    <w:p w:rsidR="004F39DA" w:rsidRPr="00632A65" w:rsidRDefault="004F39DA" w:rsidP="003D76D9">
      <w:pPr>
        <w:tabs>
          <w:tab w:val="left" w:pos="360"/>
          <w:tab w:val="left" w:pos="426"/>
        </w:tabs>
        <w:spacing w:after="120"/>
        <w:ind w:left="862"/>
        <w:jc w:val="both"/>
        <w:rPr>
          <w:rFonts w:ascii="Arial" w:hAnsi="Arial" w:cs="Arial"/>
          <w:sz w:val="22"/>
          <w:szCs w:val="22"/>
        </w:rPr>
      </w:pPr>
    </w:p>
    <w:p w:rsidR="004F39DA" w:rsidRPr="00632A65" w:rsidRDefault="004F39DA" w:rsidP="00E11CA8">
      <w:pPr>
        <w:numPr>
          <w:ilvl w:val="0"/>
          <w:numId w:val="14"/>
        </w:numPr>
        <w:tabs>
          <w:tab w:val="left" w:pos="360"/>
          <w:tab w:val="left" w:pos="426"/>
        </w:tabs>
        <w:spacing w:after="120"/>
        <w:ind w:left="862" w:hanging="357"/>
        <w:contextualSpacing/>
        <w:jc w:val="both"/>
        <w:rPr>
          <w:rFonts w:ascii="Arial" w:hAnsi="Arial" w:cs="Arial"/>
          <w:sz w:val="22"/>
          <w:szCs w:val="22"/>
        </w:rPr>
      </w:pPr>
      <w:r w:rsidRPr="00632A65">
        <w:rPr>
          <w:rFonts w:ascii="Arial" w:hAnsi="Arial" w:cs="Arial"/>
          <w:sz w:val="22"/>
          <w:szCs w:val="22"/>
        </w:rPr>
        <w:t xml:space="preserve">le deliberazioni con le quali sono determinati, per l'esercizio successivo, le tariffe, le aliquote d'imposta e le eventuali maggiori detrazioni, le variazioni dei limiti di reddito per i tributi locali e per i servizi locali, nonché, per i servizi a domanda individuale, i tassi di copertura in percentuale del costo di gestione dei servizi stessi. </w:t>
      </w:r>
    </w:p>
    <w:p w:rsidR="004F39DA" w:rsidRPr="00632A65" w:rsidRDefault="004F39DA" w:rsidP="00E11CA8">
      <w:pPr>
        <w:numPr>
          <w:ilvl w:val="0"/>
          <w:numId w:val="14"/>
        </w:numPr>
        <w:tabs>
          <w:tab w:val="left" w:pos="360"/>
          <w:tab w:val="left" w:pos="426"/>
        </w:tabs>
        <w:spacing w:after="120"/>
        <w:ind w:left="862" w:hanging="357"/>
        <w:jc w:val="both"/>
        <w:rPr>
          <w:rFonts w:ascii="Arial" w:hAnsi="Arial" w:cs="Arial"/>
          <w:sz w:val="22"/>
          <w:szCs w:val="22"/>
        </w:rPr>
      </w:pPr>
      <w:r w:rsidRPr="00632A65">
        <w:rPr>
          <w:rFonts w:ascii="Arial" w:hAnsi="Arial" w:cs="Arial"/>
          <w:sz w:val="22"/>
          <w:szCs w:val="22"/>
        </w:rPr>
        <w:t xml:space="preserve">la tabella relativa ai parametri di riscontro della situazione di deficitarietà strutturale prevista dalle disposizioni vigenti in materia (D.M. 18/2/2013); </w:t>
      </w:r>
    </w:p>
    <w:p w:rsidR="004F39DA" w:rsidRPr="00632A65" w:rsidRDefault="004F39DA" w:rsidP="00E11CA8">
      <w:pPr>
        <w:numPr>
          <w:ilvl w:val="0"/>
          <w:numId w:val="14"/>
        </w:numPr>
        <w:tabs>
          <w:tab w:val="left" w:pos="360"/>
          <w:tab w:val="left" w:pos="426"/>
        </w:tabs>
        <w:spacing w:after="120"/>
        <w:ind w:left="862" w:hanging="357"/>
        <w:jc w:val="both"/>
        <w:rPr>
          <w:rFonts w:ascii="Arial" w:hAnsi="Arial" w:cs="Arial"/>
          <w:sz w:val="22"/>
          <w:szCs w:val="22"/>
        </w:rPr>
      </w:pPr>
      <w:r w:rsidRPr="00632A65">
        <w:rPr>
          <w:rFonts w:ascii="Arial" w:hAnsi="Arial" w:cs="Arial"/>
          <w:sz w:val="22"/>
          <w:szCs w:val="22"/>
        </w:rPr>
        <w:t xml:space="preserve"> il prospetto della concordanza tra bilancio di previsione e rispetto del saldo di finanza pubblica (pareggio di bilancio);</w:t>
      </w:r>
    </w:p>
    <w:p w:rsidR="004F39DA" w:rsidRPr="00632A65" w:rsidRDefault="004F39DA" w:rsidP="003D76D9">
      <w:pPr>
        <w:numPr>
          <w:ilvl w:val="0"/>
          <w:numId w:val="1"/>
        </w:numPr>
        <w:tabs>
          <w:tab w:val="left" w:pos="360"/>
          <w:tab w:val="left" w:pos="426"/>
        </w:tabs>
        <w:spacing w:after="120"/>
        <w:ind w:hanging="357"/>
        <w:jc w:val="both"/>
        <w:rPr>
          <w:rFonts w:ascii="Arial" w:hAnsi="Arial" w:cs="Arial"/>
          <w:sz w:val="22"/>
          <w:szCs w:val="22"/>
        </w:rPr>
      </w:pPr>
      <w:r w:rsidRPr="00632A65">
        <w:rPr>
          <w:rFonts w:ascii="Arial" w:hAnsi="Arial" w:cs="Arial"/>
          <w:sz w:val="22"/>
          <w:szCs w:val="22"/>
        </w:rPr>
        <w:t>necessari per l’espressione del parere:</w:t>
      </w:r>
    </w:p>
    <w:p w:rsidR="004F39DA" w:rsidRPr="00632A65" w:rsidRDefault="004F39DA" w:rsidP="00E11CA8">
      <w:pPr>
        <w:numPr>
          <w:ilvl w:val="0"/>
          <w:numId w:val="14"/>
        </w:numPr>
        <w:tabs>
          <w:tab w:val="left" w:pos="786"/>
          <w:tab w:val="left" w:pos="851"/>
        </w:tabs>
        <w:spacing w:after="120"/>
        <w:ind w:left="862" w:hanging="357"/>
        <w:contextualSpacing/>
        <w:jc w:val="both"/>
        <w:rPr>
          <w:rFonts w:ascii="Arial" w:hAnsi="Arial" w:cs="Arial"/>
          <w:sz w:val="22"/>
          <w:szCs w:val="22"/>
        </w:rPr>
      </w:pPr>
      <w:r w:rsidRPr="00632A65">
        <w:rPr>
          <w:rFonts w:ascii="Arial" w:hAnsi="Arial" w:cs="Arial"/>
          <w:sz w:val="22"/>
          <w:szCs w:val="22"/>
        </w:rPr>
        <w:t>documento unico di programmazione (DUP)  e la nota di aggiornamento dello stesso predisposti conformemente all’art.170 del d.lgs.</w:t>
      </w:r>
      <w:r>
        <w:rPr>
          <w:rFonts w:ascii="Arial" w:hAnsi="Arial" w:cs="Arial"/>
          <w:sz w:val="22"/>
          <w:szCs w:val="22"/>
        </w:rPr>
        <w:t xml:space="preserve"> </w:t>
      </w:r>
      <w:r w:rsidRPr="00632A65">
        <w:rPr>
          <w:rFonts w:ascii="Arial" w:hAnsi="Arial" w:cs="Arial"/>
          <w:sz w:val="22"/>
          <w:szCs w:val="22"/>
        </w:rPr>
        <w:t>267/2000 dalla Giunta;</w:t>
      </w:r>
    </w:p>
    <w:p w:rsidR="004F39DA" w:rsidRPr="00632A65" w:rsidRDefault="004F39DA" w:rsidP="00E11CA8">
      <w:pPr>
        <w:pStyle w:val="Corpodeltesto21"/>
        <w:numPr>
          <w:ilvl w:val="0"/>
          <w:numId w:val="14"/>
        </w:numPr>
        <w:tabs>
          <w:tab w:val="left" w:pos="786"/>
        </w:tabs>
        <w:ind w:left="862" w:hanging="357"/>
        <w:rPr>
          <w:rFonts w:cs="Arial"/>
          <w:b w:val="0"/>
          <w:i w:val="0"/>
          <w:sz w:val="22"/>
          <w:szCs w:val="22"/>
        </w:rPr>
      </w:pPr>
      <w:r w:rsidRPr="00632A65">
        <w:rPr>
          <w:rFonts w:cs="Arial"/>
          <w:b w:val="0"/>
          <w:i w:val="0"/>
          <w:sz w:val="22"/>
          <w:szCs w:val="22"/>
        </w:rPr>
        <w:t>il programma triennale dei lavori pubblici e l’elenco annuale dei lavori pubblici di cui all’articolo 128 del D.Lgs. 163/2006;</w:t>
      </w:r>
    </w:p>
    <w:p w:rsidR="004F39DA" w:rsidRPr="00632A65" w:rsidRDefault="004F39DA" w:rsidP="00E11CA8">
      <w:pPr>
        <w:pStyle w:val="BodyText"/>
        <w:numPr>
          <w:ilvl w:val="0"/>
          <w:numId w:val="14"/>
        </w:numPr>
        <w:ind w:left="862" w:hanging="357"/>
        <w:rPr>
          <w:rFonts w:cs="Arial"/>
          <w:sz w:val="22"/>
          <w:szCs w:val="22"/>
        </w:rPr>
      </w:pPr>
      <w:r>
        <w:rPr>
          <w:rFonts w:cs="Arial"/>
          <w:sz w:val="22"/>
          <w:szCs w:val="22"/>
        </w:rPr>
        <w:t xml:space="preserve"> </w:t>
      </w:r>
      <w:r w:rsidRPr="00632A65">
        <w:rPr>
          <w:rFonts w:cs="Arial"/>
          <w:sz w:val="22"/>
          <w:szCs w:val="22"/>
        </w:rPr>
        <w:t xml:space="preserve">la delibera di approvazione della programmazione triennale del fabbisogno di personale (art. 91 D.Lgs. 267/2000 - </w:t>
      </w:r>
      <w:hyperlink r:id="rId8" w:history="1">
        <w:r>
          <w:rPr>
            <w:rFonts w:cs="Arial"/>
            <w:sz w:val="22"/>
            <w:szCs w:val="22"/>
          </w:rPr>
          <w:t>TUEL</w:t>
        </w:r>
      </w:hyperlink>
      <w:r w:rsidRPr="00632A65">
        <w:rPr>
          <w:rFonts w:cs="Arial"/>
          <w:sz w:val="22"/>
          <w:szCs w:val="22"/>
        </w:rPr>
        <w:t xml:space="preserve"> -, art. 35, comma 4 D.Lgs. 165/2001 e art. 19, comma 8, </w:t>
      </w:r>
      <w:r>
        <w:rPr>
          <w:rFonts w:cs="Arial"/>
          <w:sz w:val="22"/>
          <w:szCs w:val="22"/>
        </w:rPr>
        <w:t>Legge</w:t>
      </w:r>
      <w:r w:rsidRPr="00632A65">
        <w:rPr>
          <w:rFonts w:cs="Arial"/>
          <w:sz w:val="22"/>
          <w:szCs w:val="22"/>
        </w:rPr>
        <w:t>448/2001);</w:t>
      </w:r>
    </w:p>
    <w:p w:rsidR="004F39DA" w:rsidRPr="00632A65" w:rsidRDefault="004F39DA" w:rsidP="00E11CA8">
      <w:pPr>
        <w:pStyle w:val="Corpodeltesto21"/>
        <w:numPr>
          <w:ilvl w:val="0"/>
          <w:numId w:val="14"/>
        </w:numPr>
        <w:tabs>
          <w:tab w:val="left" w:pos="786"/>
        </w:tabs>
        <w:ind w:left="862" w:hanging="357"/>
        <w:rPr>
          <w:rFonts w:cs="Arial"/>
          <w:b w:val="0"/>
          <w:i w:val="0"/>
          <w:sz w:val="22"/>
          <w:szCs w:val="22"/>
        </w:rPr>
      </w:pPr>
      <w:r w:rsidRPr="00632A65">
        <w:rPr>
          <w:rFonts w:cs="Arial"/>
          <w:b w:val="0"/>
          <w:i w:val="0"/>
          <w:sz w:val="22"/>
          <w:szCs w:val="22"/>
        </w:rPr>
        <w:t>la delibera della G.C. di destinazione della parte vincolata dei proventi per sanzioni alle norme del codice della strada;</w:t>
      </w:r>
    </w:p>
    <w:p w:rsidR="004F39DA" w:rsidRPr="00632A65" w:rsidRDefault="004F39DA" w:rsidP="00E11CA8">
      <w:pPr>
        <w:numPr>
          <w:ilvl w:val="0"/>
          <w:numId w:val="14"/>
        </w:numPr>
        <w:tabs>
          <w:tab w:val="left" w:pos="786"/>
          <w:tab w:val="left" w:pos="851"/>
        </w:tabs>
        <w:spacing w:after="120"/>
        <w:ind w:left="862" w:hanging="357"/>
        <w:jc w:val="both"/>
        <w:rPr>
          <w:rFonts w:ascii="Arial" w:hAnsi="Arial" w:cs="Arial"/>
          <w:sz w:val="22"/>
          <w:szCs w:val="22"/>
        </w:rPr>
      </w:pPr>
      <w:r w:rsidRPr="00632A65">
        <w:rPr>
          <w:rFonts w:ascii="Arial" w:hAnsi="Arial" w:cs="Arial"/>
          <w:sz w:val="22"/>
          <w:szCs w:val="22"/>
        </w:rPr>
        <w:t xml:space="preserve">la proposta delibera del Consiglio di conferma delle aliquote e tariffe per i tributi locali; </w:t>
      </w:r>
    </w:p>
    <w:p w:rsidR="004F39DA" w:rsidRPr="00632A65" w:rsidRDefault="004F39DA" w:rsidP="00E11CA8">
      <w:pPr>
        <w:pStyle w:val="Corpodeltesto21"/>
        <w:numPr>
          <w:ilvl w:val="0"/>
          <w:numId w:val="14"/>
        </w:numPr>
        <w:tabs>
          <w:tab w:val="left" w:pos="786"/>
        </w:tabs>
        <w:ind w:left="862" w:hanging="357"/>
        <w:rPr>
          <w:rFonts w:cs="Arial"/>
          <w:b w:val="0"/>
          <w:i w:val="0"/>
          <w:sz w:val="22"/>
          <w:szCs w:val="22"/>
        </w:rPr>
      </w:pPr>
      <w:r w:rsidRPr="00632A65">
        <w:rPr>
          <w:rFonts w:cs="Arial"/>
          <w:b w:val="0"/>
          <w:i w:val="0"/>
          <w:sz w:val="22"/>
          <w:szCs w:val="22"/>
        </w:rPr>
        <w:t xml:space="preserve">piano triennale di contenimento delle spese di cui all’art. 2 commi 594 e 599 </w:t>
      </w:r>
      <w:r>
        <w:rPr>
          <w:rFonts w:cs="Arial"/>
          <w:b w:val="0"/>
          <w:i w:val="0"/>
          <w:sz w:val="22"/>
          <w:szCs w:val="22"/>
        </w:rPr>
        <w:t>Legge</w:t>
      </w:r>
      <w:r w:rsidRPr="00632A65">
        <w:rPr>
          <w:rFonts w:cs="Arial"/>
          <w:b w:val="0"/>
          <w:i w:val="0"/>
          <w:sz w:val="22"/>
          <w:szCs w:val="22"/>
        </w:rPr>
        <w:t>244/2007;</w:t>
      </w:r>
    </w:p>
    <w:p w:rsidR="004F39DA" w:rsidRPr="00632A65" w:rsidRDefault="004F39DA" w:rsidP="00E11CA8">
      <w:pPr>
        <w:pStyle w:val="Corpodeltesto21"/>
        <w:numPr>
          <w:ilvl w:val="0"/>
          <w:numId w:val="14"/>
        </w:numPr>
        <w:tabs>
          <w:tab w:val="left" w:pos="786"/>
        </w:tabs>
        <w:ind w:left="862" w:hanging="357"/>
        <w:rPr>
          <w:rFonts w:cs="Arial"/>
          <w:b w:val="0"/>
          <w:i w:val="0"/>
          <w:sz w:val="22"/>
          <w:szCs w:val="22"/>
        </w:rPr>
      </w:pPr>
      <w:r w:rsidRPr="00632A65">
        <w:rPr>
          <w:rFonts w:cs="Arial"/>
          <w:b w:val="0"/>
          <w:i w:val="0"/>
          <w:sz w:val="22"/>
          <w:szCs w:val="22"/>
        </w:rPr>
        <w:t>limite massimo delle spese per personale a tempo determinato, con convenzione e con collaborazioni coordinate e continuative (art.9, comma 28 del D.L.78/2010,)</w:t>
      </w:r>
    </w:p>
    <w:p w:rsidR="004F39DA" w:rsidRPr="00632A65" w:rsidRDefault="004F39DA" w:rsidP="00E11CA8">
      <w:pPr>
        <w:pStyle w:val="Corpodeltesto21"/>
        <w:numPr>
          <w:ilvl w:val="0"/>
          <w:numId w:val="14"/>
        </w:numPr>
        <w:tabs>
          <w:tab w:val="left" w:pos="786"/>
        </w:tabs>
        <w:ind w:left="862" w:hanging="357"/>
        <w:rPr>
          <w:rFonts w:cs="Arial"/>
          <w:b w:val="0"/>
          <w:i w:val="0"/>
          <w:sz w:val="22"/>
          <w:szCs w:val="22"/>
        </w:rPr>
      </w:pPr>
      <w:r w:rsidRPr="00632A65">
        <w:rPr>
          <w:rFonts w:cs="Arial"/>
          <w:b w:val="0"/>
          <w:i w:val="0"/>
          <w:sz w:val="22"/>
          <w:szCs w:val="22"/>
        </w:rPr>
        <w:t>i limiti massimi di spesa disposti dagli art.</w:t>
      </w:r>
      <w:r>
        <w:rPr>
          <w:rFonts w:cs="Arial"/>
          <w:b w:val="0"/>
          <w:i w:val="0"/>
          <w:sz w:val="22"/>
          <w:szCs w:val="22"/>
        </w:rPr>
        <w:t xml:space="preserve"> </w:t>
      </w:r>
      <w:r w:rsidRPr="00632A65">
        <w:rPr>
          <w:rFonts w:cs="Arial"/>
          <w:b w:val="0"/>
          <w:i w:val="0"/>
          <w:sz w:val="22"/>
          <w:szCs w:val="22"/>
        </w:rPr>
        <w:t>6 e 9 del D.L.78/2010;</w:t>
      </w:r>
    </w:p>
    <w:p w:rsidR="004F39DA" w:rsidRPr="00632A65" w:rsidRDefault="004F39DA" w:rsidP="003D76D9">
      <w:pPr>
        <w:pStyle w:val="BodyText"/>
        <w:spacing w:before="240"/>
        <w:rPr>
          <w:rFonts w:cs="Arial"/>
          <w:sz w:val="22"/>
          <w:szCs w:val="22"/>
        </w:rPr>
      </w:pPr>
      <w:r w:rsidRPr="00632A65">
        <w:rPr>
          <w:rFonts w:cs="Arial"/>
          <w:sz w:val="22"/>
          <w:szCs w:val="22"/>
        </w:rPr>
        <w:t>e i seguenti documenti messi a disposizione:</w:t>
      </w:r>
    </w:p>
    <w:p w:rsidR="004F39DA" w:rsidRPr="00632A65" w:rsidRDefault="004F39DA" w:rsidP="00E11CA8">
      <w:pPr>
        <w:numPr>
          <w:ilvl w:val="0"/>
          <w:numId w:val="2"/>
        </w:numPr>
        <w:spacing w:after="120"/>
        <w:jc w:val="both"/>
        <w:rPr>
          <w:rFonts w:ascii="Arial" w:hAnsi="Arial" w:cs="Arial"/>
          <w:sz w:val="22"/>
          <w:szCs w:val="22"/>
        </w:rPr>
      </w:pPr>
      <w:r w:rsidRPr="00632A65">
        <w:rPr>
          <w:rFonts w:ascii="Arial" w:hAnsi="Arial" w:cs="Arial"/>
          <w:sz w:val="22"/>
          <w:szCs w:val="22"/>
        </w:rPr>
        <w:t>i documenti e prospetti previsti dallo statuto e dal regolamento di contabilità;</w:t>
      </w:r>
    </w:p>
    <w:p w:rsidR="004F39DA" w:rsidRPr="00632A65" w:rsidRDefault="004F39DA" w:rsidP="00E11CA8">
      <w:pPr>
        <w:numPr>
          <w:ilvl w:val="0"/>
          <w:numId w:val="2"/>
        </w:numPr>
        <w:spacing w:after="120"/>
        <w:jc w:val="both"/>
        <w:rPr>
          <w:rFonts w:ascii="Arial" w:hAnsi="Arial" w:cs="Arial"/>
          <w:sz w:val="22"/>
          <w:szCs w:val="22"/>
        </w:rPr>
      </w:pPr>
      <w:r w:rsidRPr="00632A65">
        <w:rPr>
          <w:rFonts w:ascii="Arial" w:hAnsi="Arial" w:cs="Arial"/>
          <w:sz w:val="22"/>
          <w:szCs w:val="22"/>
        </w:rPr>
        <w:t xml:space="preserve">prospetto analitico delle spese di personale previste in bilancio come individuate dal comma 557 dell’art.1 della </w:t>
      </w:r>
      <w:r>
        <w:rPr>
          <w:rFonts w:ascii="Arial" w:hAnsi="Arial" w:cs="Arial"/>
          <w:sz w:val="22"/>
          <w:szCs w:val="22"/>
        </w:rPr>
        <w:t>Legge</w:t>
      </w:r>
      <w:r w:rsidRPr="00632A65">
        <w:rPr>
          <w:rFonts w:ascii="Arial" w:hAnsi="Arial" w:cs="Arial"/>
          <w:sz w:val="22"/>
          <w:szCs w:val="22"/>
        </w:rPr>
        <w:t>296/2006;</w:t>
      </w:r>
    </w:p>
    <w:p w:rsidR="004F39DA" w:rsidRPr="00632A65" w:rsidRDefault="004F39DA" w:rsidP="003D76D9">
      <w:pPr>
        <w:ind w:left="284"/>
        <w:jc w:val="both"/>
        <w:rPr>
          <w:rFonts w:ascii="Arial" w:hAnsi="Arial" w:cs="Arial"/>
          <w:sz w:val="22"/>
          <w:szCs w:val="22"/>
        </w:rPr>
      </w:pPr>
    </w:p>
    <w:p w:rsidR="004F39DA" w:rsidRPr="00632A65" w:rsidRDefault="004F39DA" w:rsidP="00E11CA8">
      <w:pPr>
        <w:numPr>
          <w:ilvl w:val="0"/>
          <w:numId w:val="3"/>
        </w:numPr>
        <w:tabs>
          <w:tab w:val="left" w:pos="360"/>
          <w:tab w:val="left" w:pos="426"/>
        </w:tabs>
        <w:spacing w:after="120"/>
        <w:jc w:val="both"/>
        <w:rPr>
          <w:rFonts w:ascii="Arial" w:hAnsi="Arial" w:cs="Arial"/>
          <w:sz w:val="22"/>
          <w:szCs w:val="22"/>
        </w:rPr>
      </w:pPr>
      <w:r w:rsidRPr="00632A65">
        <w:rPr>
          <w:rFonts w:ascii="Arial" w:hAnsi="Arial" w:cs="Arial"/>
          <w:sz w:val="22"/>
          <w:szCs w:val="22"/>
        </w:rPr>
        <w:t xml:space="preserve">viste le disposizioni di </w:t>
      </w:r>
      <w:r>
        <w:rPr>
          <w:rFonts w:ascii="Arial" w:hAnsi="Arial" w:cs="Arial"/>
          <w:sz w:val="22"/>
          <w:szCs w:val="22"/>
        </w:rPr>
        <w:t>Legge</w:t>
      </w:r>
      <w:r w:rsidRPr="00632A65">
        <w:rPr>
          <w:rFonts w:ascii="Arial" w:hAnsi="Arial" w:cs="Arial"/>
          <w:sz w:val="22"/>
          <w:szCs w:val="22"/>
        </w:rPr>
        <w:t xml:space="preserve">che regolano la finanza locale, in particolare il </w:t>
      </w:r>
      <w:hyperlink r:id="rId9" w:history="1">
        <w:r>
          <w:rPr>
            <w:rFonts w:ascii="Arial" w:hAnsi="Arial" w:cs="Arial"/>
            <w:sz w:val="22"/>
            <w:szCs w:val="22"/>
          </w:rPr>
          <w:t>TUEL</w:t>
        </w:r>
      </w:hyperlink>
      <w:r w:rsidRPr="00632A65">
        <w:rPr>
          <w:rFonts w:ascii="Arial" w:hAnsi="Arial" w:cs="Arial"/>
          <w:sz w:val="22"/>
          <w:szCs w:val="22"/>
        </w:rPr>
        <w:t>;</w:t>
      </w:r>
    </w:p>
    <w:p w:rsidR="004F39DA" w:rsidRPr="00632A65" w:rsidRDefault="004F39DA" w:rsidP="00E11CA8">
      <w:pPr>
        <w:numPr>
          <w:ilvl w:val="0"/>
          <w:numId w:val="3"/>
        </w:numPr>
        <w:tabs>
          <w:tab w:val="left" w:pos="360"/>
          <w:tab w:val="left" w:pos="426"/>
        </w:tabs>
        <w:spacing w:after="120"/>
        <w:jc w:val="both"/>
        <w:rPr>
          <w:rFonts w:ascii="Arial" w:hAnsi="Arial" w:cs="Arial"/>
          <w:sz w:val="22"/>
          <w:szCs w:val="22"/>
        </w:rPr>
      </w:pPr>
      <w:r w:rsidRPr="00632A65">
        <w:rPr>
          <w:rFonts w:ascii="Arial" w:hAnsi="Arial" w:cs="Arial"/>
          <w:sz w:val="22"/>
          <w:szCs w:val="22"/>
        </w:rPr>
        <w:t>visto lo statuto dell’ente, con particolare riferimento alle funzioni attribuite al</w:t>
      </w:r>
      <w:r>
        <w:rPr>
          <w:rFonts w:ascii="Arial" w:hAnsi="Arial" w:cs="Arial"/>
          <w:sz w:val="22"/>
          <w:szCs w:val="22"/>
        </w:rPr>
        <w:t xml:space="preserve"> Revisore dei Conti</w:t>
      </w:r>
      <w:r w:rsidRPr="00632A65">
        <w:rPr>
          <w:rFonts w:ascii="Arial" w:hAnsi="Arial" w:cs="Arial"/>
          <w:sz w:val="22"/>
          <w:szCs w:val="22"/>
        </w:rPr>
        <w:t>;</w:t>
      </w:r>
    </w:p>
    <w:p w:rsidR="004F39DA" w:rsidRPr="00632A65" w:rsidRDefault="004F39DA" w:rsidP="00E11CA8">
      <w:pPr>
        <w:numPr>
          <w:ilvl w:val="0"/>
          <w:numId w:val="3"/>
        </w:numPr>
        <w:tabs>
          <w:tab w:val="left" w:pos="360"/>
          <w:tab w:val="left" w:pos="426"/>
        </w:tabs>
        <w:spacing w:after="120"/>
        <w:jc w:val="both"/>
        <w:rPr>
          <w:rFonts w:ascii="Arial" w:hAnsi="Arial" w:cs="Arial"/>
          <w:sz w:val="22"/>
          <w:szCs w:val="22"/>
        </w:rPr>
      </w:pPr>
      <w:r w:rsidRPr="00632A65">
        <w:rPr>
          <w:rFonts w:ascii="Arial" w:hAnsi="Arial" w:cs="Arial"/>
          <w:sz w:val="22"/>
          <w:szCs w:val="22"/>
        </w:rPr>
        <w:t>visto lo statuto ed il regolamento di contabilità;</w:t>
      </w:r>
    </w:p>
    <w:p w:rsidR="004F39DA" w:rsidRPr="00632A65" w:rsidRDefault="004F39DA" w:rsidP="00E11CA8">
      <w:pPr>
        <w:numPr>
          <w:ilvl w:val="0"/>
          <w:numId w:val="3"/>
        </w:numPr>
        <w:tabs>
          <w:tab w:val="left" w:pos="360"/>
          <w:tab w:val="left" w:pos="426"/>
        </w:tabs>
        <w:spacing w:after="120"/>
        <w:jc w:val="both"/>
        <w:rPr>
          <w:rFonts w:ascii="Arial" w:hAnsi="Arial" w:cs="Arial"/>
          <w:sz w:val="22"/>
          <w:szCs w:val="22"/>
        </w:rPr>
      </w:pPr>
      <w:r w:rsidRPr="00632A65">
        <w:rPr>
          <w:rFonts w:ascii="Arial" w:hAnsi="Arial" w:cs="Arial"/>
          <w:sz w:val="22"/>
          <w:szCs w:val="22"/>
        </w:rPr>
        <w:t>visti i regolamenti relativi ai tributi comunali;</w:t>
      </w:r>
    </w:p>
    <w:p w:rsidR="004F39DA" w:rsidRPr="00632A65" w:rsidRDefault="004F39DA" w:rsidP="00E11CA8">
      <w:pPr>
        <w:numPr>
          <w:ilvl w:val="0"/>
          <w:numId w:val="3"/>
        </w:numPr>
        <w:tabs>
          <w:tab w:val="left" w:pos="360"/>
          <w:tab w:val="left" w:pos="426"/>
        </w:tabs>
        <w:spacing w:after="120"/>
        <w:jc w:val="both"/>
        <w:rPr>
          <w:rFonts w:ascii="Arial" w:hAnsi="Arial" w:cs="Arial"/>
          <w:sz w:val="22"/>
          <w:szCs w:val="22"/>
        </w:rPr>
      </w:pPr>
      <w:r w:rsidRPr="00632A65">
        <w:rPr>
          <w:rFonts w:ascii="Arial" w:hAnsi="Arial" w:cs="Arial"/>
          <w:sz w:val="22"/>
          <w:szCs w:val="22"/>
        </w:rPr>
        <w:t xml:space="preserve">visto il parere espresso dal responsabile del servizio finanziario, ai sensi dell’art.153, comma 4 del d.lgs. 267/2000, in data </w:t>
      </w:r>
      <w:r>
        <w:rPr>
          <w:rFonts w:ascii="Arial" w:hAnsi="Arial" w:cs="Arial"/>
          <w:sz w:val="22"/>
          <w:szCs w:val="22"/>
        </w:rPr>
        <w:t>08/04/2016</w:t>
      </w:r>
      <w:r w:rsidRPr="00632A65">
        <w:rPr>
          <w:rFonts w:ascii="Arial" w:hAnsi="Arial" w:cs="Arial"/>
          <w:sz w:val="22"/>
          <w:szCs w:val="22"/>
        </w:rPr>
        <w:t xml:space="preserve"> in merito alla veridicità delle previsioni di entrata e di compatibilità delle previsioni di spesa, avanzate dai vari servizi, iscritte nel bilancio di previsione 2016/2018;</w:t>
      </w:r>
    </w:p>
    <w:p w:rsidR="004F39DA" w:rsidRPr="00632A65" w:rsidRDefault="004F39DA" w:rsidP="003D76D9">
      <w:pPr>
        <w:tabs>
          <w:tab w:val="left" w:pos="360"/>
          <w:tab w:val="left" w:pos="426"/>
        </w:tabs>
        <w:spacing w:after="120"/>
        <w:jc w:val="both"/>
        <w:rPr>
          <w:rFonts w:ascii="Arial" w:hAnsi="Arial" w:cs="Arial"/>
          <w:sz w:val="22"/>
          <w:szCs w:val="22"/>
        </w:rPr>
      </w:pPr>
      <w:r w:rsidRPr="00632A65">
        <w:rPr>
          <w:rFonts w:ascii="Arial" w:hAnsi="Arial" w:cs="Arial"/>
          <w:sz w:val="22"/>
          <w:szCs w:val="22"/>
        </w:rPr>
        <w:t>ha</w:t>
      </w:r>
      <w:r w:rsidRPr="00632A65">
        <w:rPr>
          <w:rFonts w:ascii="Arial" w:hAnsi="Arial" w:cs="Arial"/>
          <w:b/>
          <w:i/>
          <w:sz w:val="22"/>
          <w:szCs w:val="22"/>
        </w:rPr>
        <w:t xml:space="preserve"> </w:t>
      </w:r>
      <w:r w:rsidRPr="00632A65">
        <w:rPr>
          <w:rFonts w:ascii="Arial" w:hAnsi="Arial" w:cs="Arial"/>
          <w:sz w:val="22"/>
          <w:szCs w:val="22"/>
        </w:rPr>
        <w:t xml:space="preserve">effettuato le seguenti verifiche al fine di esprimere un motivato giudizio di coerenza, attendibilità e congruità contabile delle previsioni di bilancio e dei programmi e progetti, come richiesto dall’art. 239, comma 1, lettera b) del </w:t>
      </w:r>
      <w:hyperlink r:id="rId10" w:history="1">
        <w:r>
          <w:rPr>
            <w:rFonts w:ascii="Arial" w:hAnsi="Arial" w:cs="Arial"/>
            <w:sz w:val="22"/>
            <w:szCs w:val="22"/>
          </w:rPr>
          <w:t>TUEL</w:t>
        </w:r>
      </w:hyperlink>
      <w:r w:rsidRPr="00632A65">
        <w:rPr>
          <w:rFonts w:ascii="Arial" w:hAnsi="Arial" w:cs="Arial"/>
          <w:sz w:val="22"/>
          <w:szCs w:val="22"/>
        </w:rPr>
        <w:t>.</w:t>
      </w:r>
    </w:p>
    <w:p w:rsidR="004F39DA" w:rsidRPr="00632A65" w:rsidRDefault="004F39DA" w:rsidP="003D76D9">
      <w:pPr>
        <w:rPr>
          <w:rFonts w:ascii="Arial" w:hAnsi="Arial" w:cs="Arial"/>
          <w:i/>
          <w:sz w:val="20"/>
        </w:rPr>
      </w:pPr>
      <w:r w:rsidRPr="00632A65">
        <w:rPr>
          <w:rFonts w:ascii="Arial" w:hAnsi="Arial" w:cs="Arial"/>
          <w:i/>
          <w:sz w:val="20"/>
        </w:rPr>
        <w:br w:type="page"/>
      </w:r>
    </w:p>
    <w:p w:rsidR="004F39DA" w:rsidRPr="00632A65" w:rsidRDefault="004F39DA" w:rsidP="003D76D9">
      <w:pPr>
        <w:spacing w:after="120"/>
        <w:jc w:val="both"/>
        <w:rPr>
          <w:rFonts w:ascii="Arial" w:hAnsi="Arial" w:cs="Arial"/>
          <w:i/>
          <w:sz w:val="20"/>
        </w:rPr>
      </w:pPr>
    </w:p>
    <w:p w:rsidR="004F39DA" w:rsidRPr="00632A65" w:rsidRDefault="004F39DA" w:rsidP="003D76D9">
      <w:pPr>
        <w:pStyle w:val="Heading1"/>
        <w:shd w:val="clear" w:color="auto" w:fill="B6DDE8"/>
      </w:pPr>
      <w:bookmarkStart w:id="4" w:name="_Toc314835176"/>
      <w:r w:rsidRPr="00632A65">
        <w:t>ACCERTAMENTI PRELIMINARI</w:t>
      </w:r>
      <w:bookmarkEnd w:id="4"/>
    </w:p>
    <w:p w:rsidR="004F39DA" w:rsidRPr="00632A65" w:rsidRDefault="004F39DA" w:rsidP="003D76D9">
      <w:pPr>
        <w:rPr>
          <w:rFonts w:ascii="Arial" w:hAnsi="Arial" w:cs="Arial"/>
          <w:highlight w:val="yellow"/>
        </w:rPr>
      </w:pPr>
    </w:p>
    <w:p w:rsidR="004F39DA" w:rsidRPr="00632A65" w:rsidRDefault="004F39DA" w:rsidP="003D76D9">
      <w:pPr>
        <w:spacing w:before="120"/>
        <w:jc w:val="both"/>
        <w:rPr>
          <w:rFonts w:ascii="Arial" w:hAnsi="Arial" w:cs="Arial"/>
          <w:sz w:val="22"/>
          <w:szCs w:val="22"/>
        </w:rPr>
      </w:pPr>
      <w:r w:rsidRPr="00632A65">
        <w:rPr>
          <w:rFonts w:ascii="Arial" w:hAnsi="Arial" w:cs="Arial"/>
          <w:sz w:val="22"/>
          <w:szCs w:val="22"/>
        </w:rPr>
        <w:t xml:space="preserve">L’Ente si è avvalso della facoltà di rinviare l’adozione della contabilità economico-patrimoniale. </w:t>
      </w:r>
    </w:p>
    <w:p w:rsidR="004F39DA" w:rsidRPr="00632A65" w:rsidRDefault="004F39DA" w:rsidP="003D76D9">
      <w:pPr>
        <w:spacing w:before="120"/>
        <w:jc w:val="both"/>
        <w:rPr>
          <w:rFonts w:ascii="Arial" w:hAnsi="Arial" w:cs="Arial"/>
          <w:sz w:val="22"/>
          <w:szCs w:val="22"/>
        </w:rPr>
      </w:pPr>
    </w:p>
    <w:p w:rsidR="004F39DA" w:rsidRPr="00632A65" w:rsidRDefault="004F39DA" w:rsidP="003D76D9">
      <w:pPr>
        <w:spacing w:before="120"/>
        <w:jc w:val="both"/>
        <w:rPr>
          <w:rFonts w:ascii="Arial" w:hAnsi="Arial" w:cs="Arial"/>
          <w:sz w:val="22"/>
          <w:szCs w:val="22"/>
        </w:rPr>
      </w:pPr>
      <w:r w:rsidRPr="00632A65">
        <w:rPr>
          <w:rFonts w:ascii="Arial" w:hAnsi="Arial" w:cs="Arial"/>
          <w:sz w:val="22"/>
          <w:szCs w:val="22"/>
        </w:rPr>
        <w:t>L’Ente si è</w:t>
      </w:r>
      <w:r>
        <w:rPr>
          <w:rFonts w:ascii="Arial" w:hAnsi="Arial" w:cs="Arial"/>
          <w:sz w:val="22"/>
          <w:szCs w:val="22"/>
        </w:rPr>
        <w:t xml:space="preserve"> </w:t>
      </w:r>
      <w:r w:rsidRPr="00632A65">
        <w:rPr>
          <w:rFonts w:ascii="Arial" w:hAnsi="Arial" w:cs="Arial"/>
          <w:sz w:val="22"/>
          <w:szCs w:val="22"/>
        </w:rPr>
        <w:t>avvalso della facoltà di rinviare la redazione del bilancio consolidato.</w:t>
      </w:r>
    </w:p>
    <w:p w:rsidR="004F39DA" w:rsidRPr="00632A65" w:rsidRDefault="004F39DA" w:rsidP="003D76D9">
      <w:pPr>
        <w:spacing w:before="120"/>
        <w:jc w:val="both"/>
        <w:rPr>
          <w:rFonts w:ascii="Arial" w:hAnsi="Arial" w:cs="Arial"/>
          <w:sz w:val="22"/>
          <w:szCs w:val="22"/>
        </w:rPr>
      </w:pPr>
    </w:p>
    <w:p w:rsidR="004F39DA" w:rsidRPr="00632A65" w:rsidRDefault="004F39DA" w:rsidP="003D76D9">
      <w:pPr>
        <w:spacing w:before="120"/>
        <w:jc w:val="both"/>
        <w:rPr>
          <w:rFonts w:ascii="Arial" w:hAnsi="Arial" w:cs="Arial"/>
          <w:sz w:val="22"/>
          <w:szCs w:val="22"/>
        </w:rPr>
      </w:pPr>
      <w:r w:rsidRPr="00632A65">
        <w:rPr>
          <w:rFonts w:ascii="Arial" w:hAnsi="Arial" w:cs="Arial"/>
          <w:sz w:val="22"/>
          <w:szCs w:val="22"/>
        </w:rPr>
        <w:t>Nell’anno 2015 l’ente ha ha proceduto a riclassificare il PEG 2015 per missioni e programmi, cui ne ha conseguito l’elaborazione dl bilancio di previsione 2015/2017 con funzione conoscitiva.</w:t>
      </w:r>
    </w:p>
    <w:p w:rsidR="004F39DA" w:rsidRPr="00632A65" w:rsidRDefault="004F39DA" w:rsidP="003D76D9">
      <w:pPr>
        <w:spacing w:before="120"/>
        <w:jc w:val="both"/>
        <w:rPr>
          <w:rFonts w:ascii="Arial" w:hAnsi="Arial" w:cs="Arial"/>
          <w:sz w:val="22"/>
          <w:szCs w:val="22"/>
        </w:rPr>
      </w:pPr>
    </w:p>
    <w:p w:rsidR="004F39DA" w:rsidRPr="00632A65" w:rsidRDefault="004F39DA" w:rsidP="003D76D9">
      <w:pPr>
        <w:spacing w:before="120"/>
        <w:jc w:val="both"/>
        <w:rPr>
          <w:rFonts w:ascii="Arial" w:hAnsi="Arial" w:cs="Arial"/>
          <w:sz w:val="22"/>
          <w:szCs w:val="22"/>
        </w:rPr>
      </w:pPr>
      <w:r w:rsidRPr="00632A65">
        <w:rPr>
          <w:rFonts w:ascii="Arial" w:hAnsi="Arial" w:cs="Arial"/>
          <w:sz w:val="22"/>
          <w:szCs w:val="22"/>
        </w:rPr>
        <w:t>L’Ente entro il 30 novembre 2015 ha aggiornato gli stanziamenti 2016 del bilancio di previsione 2015/2017.</w:t>
      </w:r>
    </w:p>
    <w:p w:rsidR="004F39DA" w:rsidRPr="00632A65" w:rsidRDefault="004F39DA" w:rsidP="003D76D9">
      <w:pPr>
        <w:spacing w:before="120"/>
        <w:jc w:val="both"/>
        <w:rPr>
          <w:rFonts w:ascii="Arial" w:hAnsi="Arial" w:cs="Arial"/>
          <w:sz w:val="22"/>
          <w:szCs w:val="22"/>
        </w:rPr>
      </w:pPr>
    </w:p>
    <w:p w:rsidR="004F39DA" w:rsidRPr="00632A65" w:rsidRDefault="004F39DA" w:rsidP="003D76D9">
      <w:pPr>
        <w:pStyle w:val="HTMLPreformatted"/>
        <w:jc w:val="both"/>
        <w:rPr>
          <w:rFonts w:ascii="Arial" w:hAnsi="Arial" w:cs="Arial"/>
          <w:sz w:val="22"/>
          <w:szCs w:val="22"/>
        </w:rPr>
      </w:pPr>
      <w:r w:rsidRPr="00632A65">
        <w:rPr>
          <w:rFonts w:ascii="Arial" w:hAnsi="Arial" w:cs="Arial"/>
          <w:sz w:val="22"/>
          <w:szCs w:val="22"/>
        </w:rPr>
        <w:t>Essendo in esercizio provvisorio l’Ente ha trasmesso al Tesoriere l’elenco dei residui presunti alla data del 1° gennaio 2016 e gli stanziamenti di competenza 2016 del bilancio di previsione pluriennale 2015-2017 aggiornati alle variazioni deliberate nel corso dell’esercizio 2015, indicanti – per ciascuna missione, programma e titolo - gli impegni già assunti e l’importo del fondo pluriennale vincolato.</w:t>
      </w:r>
    </w:p>
    <w:p w:rsidR="004F39DA" w:rsidRPr="00632A65" w:rsidRDefault="004F39DA" w:rsidP="003D76D9">
      <w:pPr>
        <w:pStyle w:val="HTMLPreformatted"/>
        <w:jc w:val="both"/>
        <w:rPr>
          <w:rFonts w:ascii="Arial" w:hAnsi="Arial" w:cs="Arial"/>
          <w:sz w:val="22"/>
          <w:szCs w:val="22"/>
        </w:rPr>
      </w:pPr>
    </w:p>
    <w:p w:rsidR="004F39DA" w:rsidRPr="00632A65" w:rsidRDefault="004F39DA" w:rsidP="003D76D9">
      <w:pPr>
        <w:spacing w:before="120"/>
        <w:jc w:val="both"/>
        <w:rPr>
          <w:rFonts w:ascii="Arial" w:hAnsi="Arial" w:cs="Arial"/>
          <w:sz w:val="22"/>
          <w:szCs w:val="22"/>
        </w:rPr>
      </w:pPr>
      <w:r w:rsidRPr="00632A65">
        <w:rPr>
          <w:rFonts w:ascii="Arial" w:hAnsi="Arial" w:cs="Arial"/>
          <w:sz w:val="22"/>
          <w:szCs w:val="22"/>
        </w:rPr>
        <w:t xml:space="preserve">L’Ente non ha deliberato riduzioni/esenzioni di tributi locali ai sensi dell’art.24 del D.L. n. 133/2014 (c.d. “Baratto amministrativo”). </w:t>
      </w:r>
    </w:p>
    <w:p w:rsidR="004F39DA" w:rsidRPr="00632A65" w:rsidRDefault="004F39DA" w:rsidP="003D76D9">
      <w:pPr>
        <w:spacing w:before="120"/>
        <w:jc w:val="both"/>
        <w:rPr>
          <w:rFonts w:ascii="Arial" w:hAnsi="Arial" w:cs="Arial"/>
          <w:sz w:val="22"/>
          <w:szCs w:val="22"/>
        </w:rPr>
      </w:pPr>
      <w:r w:rsidRPr="00632A65">
        <w:rPr>
          <w:rFonts w:ascii="Arial" w:hAnsi="Arial" w:cs="Arial"/>
          <w:sz w:val="22"/>
          <w:szCs w:val="22"/>
        </w:rPr>
        <w:t xml:space="preserve"> </w:t>
      </w:r>
    </w:p>
    <w:p w:rsidR="004F39DA" w:rsidRPr="00632A65" w:rsidRDefault="004F39DA" w:rsidP="003D76D9">
      <w:pPr>
        <w:spacing w:after="120"/>
        <w:jc w:val="both"/>
        <w:rPr>
          <w:rFonts w:ascii="Arial" w:hAnsi="Arial" w:cs="Arial"/>
          <w:i/>
          <w:sz w:val="20"/>
        </w:rPr>
      </w:pPr>
    </w:p>
    <w:p w:rsidR="004F39DA" w:rsidRPr="00632A65" w:rsidRDefault="004F39DA" w:rsidP="003D76D9">
      <w:pPr>
        <w:spacing w:after="120"/>
        <w:jc w:val="both"/>
        <w:rPr>
          <w:rFonts w:ascii="Arial" w:hAnsi="Arial" w:cs="Arial"/>
          <w:i/>
          <w:sz w:val="20"/>
        </w:rPr>
      </w:pPr>
    </w:p>
    <w:p w:rsidR="004F39DA" w:rsidRPr="00632A65" w:rsidRDefault="004F39DA" w:rsidP="003D76D9">
      <w:pPr>
        <w:spacing w:after="120"/>
        <w:jc w:val="both"/>
        <w:rPr>
          <w:rFonts w:ascii="Arial" w:hAnsi="Arial" w:cs="Arial"/>
          <w:i/>
          <w:sz w:val="20"/>
        </w:rPr>
      </w:pPr>
    </w:p>
    <w:p w:rsidR="004F39DA" w:rsidRPr="00632A65" w:rsidRDefault="004F39DA" w:rsidP="003D76D9">
      <w:pPr>
        <w:rPr>
          <w:rFonts w:ascii="Arial" w:hAnsi="Arial" w:cs="Arial"/>
          <w:i/>
          <w:sz w:val="20"/>
        </w:rPr>
      </w:pPr>
      <w:r w:rsidRPr="00632A65">
        <w:rPr>
          <w:rFonts w:ascii="Arial" w:hAnsi="Arial" w:cs="Arial"/>
          <w:i/>
          <w:sz w:val="20"/>
        </w:rPr>
        <w:br w:type="page"/>
      </w:r>
    </w:p>
    <w:p w:rsidR="004F39DA" w:rsidRPr="00632A65" w:rsidRDefault="004F39DA" w:rsidP="003D76D9">
      <w:pPr>
        <w:pStyle w:val="Heading1"/>
        <w:shd w:val="clear" w:color="auto" w:fill="B6DDE8"/>
      </w:pPr>
      <w:r w:rsidRPr="00632A65">
        <w:t xml:space="preserve">    </w:t>
      </w:r>
      <w:bookmarkStart w:id="5" w:name="_Toc346838816"/>
      <w:bookmarkStart w:id="6" w:name="_Toc314835177"/>
      <w:r w:rsidRPr="00632A65">
        <w:t>VERIFICHE DEGLI EQUILIBRI</w:t>
      </w:r>
      <w:bookmarkEnd w:id="5"/>
      <w:bookmarkEnd w:id="6"/>
    </w:p>
    <w:p w:rsidR="004F39DA" w:rsidRPr="00632A65" w:rsidRDefault="004F39DA" w:rsidP="003D76D9">
      <w:pPr>
        <w:pStyle w:val="Heading2"/>
        <w:jc w:val="center"/>
      </w:pPr>
      <w:bookmarkStart w:id="7" w:name="_GESTIONE_DELL’ESERCIZIO_2008"/>
      <w:bookmarkStart w:id="8" w:name="_Toc346838817"/>
      <w:bookmarkStart w:id="9" w:name="_Toc314835178"/>
      <w:bookmarkEnd w:id="7"/>
      <w:r w:rsidRPr="00632A65">
        <w:t>GESTIONE DELL’ESERCIZIO 2015</w:t>
      </w:r>
      <w:bookmarkEnd w:id="8"/>
      <w:bookmarkEnd w:id="9"/>
    </w:p>
    <w:p w:rsidR="004F39DA" w:rsidRPr="00632A65" w:rsidRDefault="004F39DA" w:rsidP="003D76D9">
      <w:pPr>
        <w:rPr>
          <w:rFonts w:ascii="Arial" w:hAnsi="Arial" w:cs="Arial"/>
        </w:rPr>
      </w:pPr>
    </w:p>
    <w:p w:rsidR="004F39DA" w:rsidRPr="00632A65" w:rsidRDefault="004F39DA" w:rsidP="00233600">
      <w:pPr>
        <w:spacing w:before="120"/>
        <w:jc w:val="both"/>
        <w:rPr>
          <w:rFonts w:ascii="Arial" w:hAnsi="Arial" w:cs="Arial"/>
          <w:sz w:val="22"/>
          <w:szCs w:val="22"/>
        </w:rPr>
      </w:pPr>
      <w:r>
        <w:rPr>
          <w:rFonts w:ascii="Arial" w:hAnsi="Arial" w:cs="Arial"/>
          <w:sz w:val="22"/>
          <w:szCs w:val="22"/>
        </w:rPr>
        <w:t xml:space="preserve">Il Revisore dei Conti, con verbale n. 29 del 22/04/2016, ha espresso il proprio parere in ordine alla proposta di deliberazione di approvazione del </w:t>
      </w:r>
      <w:r w:rsidRPr="00632A65">
        <w:rPr>
          <w:rFonts w:ascii="Arial" w:hAnsi="Arial" w:cs="Arial"/>
          <w:sz w:val="22"/>
          <w:szCs w:val="22"/>
        </w:rPr>
        <w:t>rendiconto per l’esercizio 2015.</w:t>
      </w:r>
    </w:p>
    <w:p w:rsidR="004F39DA" w:rsidRPr="00632A65" w:rsidRDefault="004F39DA" w:rsidP="003D76D9">
      <w:pPr>
        <w:spacing w:before="120" w:line="240" w:lineRule="exact"/>
        <w:jc w:val="both"/>
        <w:rPr>
          <w:rFonts w:ascii="Arial" w:hAnsi="Arial" w:cs="Arial"/>
          <w:sz w:val="22"/>
          <w:szCs w:val="22"/>
        </w:rPr>
      </w:pPr>
      <w:r w:rsidRPr="00632A65">
        <w:rPr>
          <w:rFonts w:ascii="Arial" w:hAnsi="Arial" w:cs="Arial"/>
          <w:sz w:val="22"/>
          <w:szCs w:val="22"/>
        </w:rPr>
        <w:t xml:space="preserve">Da tale rendiconto, come indicato nella relazione </w:t>
      </w:r>
      <w:r>
        <w:rPr>
          <w:rFonts w:ascii="Arial" w:hAnsi="Arial" w:cs="Arial"/>
          <w:sz w:val="22"/>
          <w:szCs w:val="22"/>
        </w:rPr>
        <w:t xml:space="preserve">del Revisore dei Conti, </w:t>
      </w:r>
      <w:r w:rsidRPr="00632A65">
        <w:rPr>
          <w:rFonts w:ascii="Arial" w:hAnsi="Arial" w:cs="Arial"/>
          <w:sz w:val="22"/>
          <w:szCs w:val="22"/>
        </w:rPr>
        <w:t>risulta che:</w:t>
      </w:r>
    </w:p>
    <w:p w:rsidR="004F39DA" w:rsidRPr="00632A65" w:rsidRDefault="004F39DA" w:rsidP="00E11CA8">
      <w:pPr>
        <w:numPr>
          <w:ilvl w:val="0"/>
          <w:numId w:val="10"/>
        </w:numPr>
        <w:spacing w:before="120" w:line="240" w:lineRule="exact"/>
        <w:jc w:val="both"/>
        <w:rPr>
          <w:rFonts w:ascii="Arial" w:hAnsi="Arial" w:cs="Arial"/>
          <w:sz w:val="22"/>
          <w:szCs w:val="22"/>
        </w:rPr>
      </w:pPr>
      <w:r w:rsidRPr="00632A65">
        <w:rPr>
          <w:rFonts w:ascii="Arial" w:hAnsi="Arial" w:cs="Arial"/>
          <w:sz w:val="22"/>
          <w:szCs w:val="22"/>
        </w:rPr>
        <w:t>sono salvaguardati gli equilibri di bilancio;</w:t>
      </w:r>
    </w:p>
    <w:p w:rsidR="004F39DA" w:rsidRPr="00632A65" w:rsidRDefault="004F39DA" w:rsidP="00E11CA8">
      <w:pPr>
        <w:numPr>
          <w:ilvl w:val="0"/>
          <w:numId w:val="10"/>
        </w:numPr>
        <w:spacing w:before="120" w:line="240" w:lineRule="exact"/>
        <w:jc w:val="both"/>
        <w:rPr>
          <w:rFonts w:ascii="Arial" w:hAnsi="Arial" w:cs="Arial"/>
          <w:sz w:val="22"/>
          <w:szCs w:val="22"/>
        </w:rPr>
      </w:pPr>
      <w:r w:rsidRPr="00632A65">
        <w:rPr>
          <w:rFonts w:ascii="Arial" w:hAnsi="Arial" w:cs="Arial"/>
          <w:sz w:val="22"/>
          <w:szCs w:val="22"/>
        </w:rPr>
        <w:t xml:space="preserve">risultano debiti fuori bilancio </w:t>
      </w:r>
      <w:r>
        <w:rPr>
          <w:rFonts w:ascii="Arial" w:hAnsi="Arial" w:cs="Arial"/>
          <w:sz w:val="22"/>
          <w:szCs w:val="22"/>
        </w:rPr>
        <w:t xml:space="preserve">e </w:t>
      </w:r>
      <w:r w:rsidRPr="00632A65">
        <w:rPr>
          <w:rFonts w:ascii="Arial" w:hAnsi="Arial" w:cs="Arial"/>
          <w:sz w:val="22"/>
          <w:szCs w:val="22"/>
        </w:rPr>
        <w:t>passività probabili da finanziare;</w:t>
      </w:r>
    </w:p>
    <w:p w:rsidR="004F39DA" w:rsidRPr="00632A65" w:rsidRDefault="004F39DA" w:rsidP="00E11CA8">
      <w:pPr>
        <w:numPr>
          <w:ilvl w:val="0"/>
          <w:numId w:val="10"/>
        </w:numPr>
        <w:spacing w:before="120" w:line="240" w:lineRule="exact"/>
        <w:jc w:val="both"/>
        <w:rPr>
          <w:rFonts w:ascii="Arial" w:hAnsi="Arial" w:cs="Arial"/>
          <w:sz w:val="22"/>
          <w:szCs w:val="22"/>
        </w:rPr>
      </w:pPr>
      <w:r w:rsidRPr="00632A65">
        <w:rPr>
          <w:rFonts w:ascii="Arial" w:hAnsi="Arial" w:cs="Arial"/>
          <w:sz w:val="22"/>
          <w:szCs w:val="22"/>
        </w:rPr>
        <w:t xml:space="preserve">è stato rispettato l’obiettivo del patto di stabilità; </w:t>
      </w:r>
    </w:p>
    <w:p w:rsidR="004F39DA" w:rsidRPr="00632A65" w:rsidRDefault="004F39DA" w:rsidP="00E11CA8">
      <w:pPr>
        <w:numPr>
          <w:ilvl w:val="0"/>
          <w:numId w:val="10"/>
        </w:numPr>
        <w:spacing w:before="120" w:line="240" w:lineRule="exact"/>
        <w:jc w:val="both"/>
        <w:rPr>
          <w:rFonts w:ascii="Arial" w:hAnsi="Arial" w:cs="Arial"/>
          <w:sz w:val="22"/>
          <w:szCs w:val="22"/>
        </w:rPr>
      </w:pPr>
      <w:r w:rsidRPr="00632A65">
        <w:rPr>
          <w:rFonts w:ascii="Arial" w:hAnsi="Arial" w:cs="Arial"/>
          <w:sz w:val="22"/>
          <w:szCs w:val="22"/>
        </w:rPr>
        <w:t>sono state rispettate le disposizioni sul contenimento delle spese di personale;</w:t>
      </w:r>
    </w:p>
    <w:p w:rsidR="004F39DA" w:rsidRPr="00632A65" w:rsidRDefault="004F39DA" w:rsidP="00E11CA8">
      <w:pPr>
        <w:numPr>
          <w:ilvl w:val="0"/>
          <w:numId w:val="10"/>
        </w:numPr>
        <w:spacing w:before="120" w:line="240" w:lineRule="exact"/>
        <w:jc w:val="both"/>
        <w:rPr>
          <w:rFonts w:ascii="Arial" w:hAnsi="Arial" w:cs="Arial"/>
          <w:sz w:val="22"/>
          <w:szCs w:val="22"/>
        </w:rPr>
      </w:pPr>
      <w:r w:rsidRPr="00632A65">
        <w:rPr>
          <w:rFonts w:ascii="Arial" w:hAnsi="Arial" w:cs="Arial"/>
          <w:sz w:val="22"/>
          <w:szCs w:val="22"/>
        </w:rPr>
        <w:t>non sono richiesti finanziamenti straordinari agli organismi partecipati.</w:t>
      </w:r>
    </w:p>
    <w:p w:rsidR="004F39DA" w:rsidRDefault="004F39DA" w:rsidP="003D76D9">
      <w:pPr>
        <w:spacing w:before="120" w:after="60"/>
        <w:jc w:val="both"/>
        <w:rPr>
          <w:rFonts w:ascii="Arial" w:hAnsi="Arial" w:cs="Arial"/>
          <w:sz w:val="22"/>
          <w:szCs w:val="22"/>
        </w:rPr>
      </w:pPr>
    </w:p>
    <w:p w:rsidR="004F39DA" w:rsidRPr="00632A65" w:rsidRDefault="004F39DA" w:rsidP="003D76D9">
      <w:pPr>
        <w:spacing w:before="120" w:after="60"/>
        <w:jc w:val="both"/>
        <w:rPr>
          <w:rFonts w:ascii="Arial" w:hAnsi="Arial" w:cs="Arial"/>
          <w:sz w:val="22"/>
          <w:szCs w:val="22"/>
        </w:rPr>
      </w:pPr>
      <w:r w:rsidRPr="00632A65">
        <w:rPr>
          <w:rFonts w:ascii="Arial" w:hAnsi="Arial" w:cs="Arial"/>
          <w:sz w:val="22"/>
          <w:szCs w:val="22"/>
        </w:rPr>
        <w:t>La gestione dell’anno 2015:</w:t>
      </w:r>
    </w:p>
    <w:p w:rsidR="004F39DA" w:rsidRPr="00632A65" w:rsidRDefault="004F39DA" w:rsidP="003D76D9">
      <w:pPr>
        <w:spacing w:before="120" w:after="60"/>
        <w:jc w:val="both"/>
        <w:rPr>
          <w:rFonts w:ascii="Arial" w:hAnsi="Arial" w:cs="Arial"/>
          <w:sz w:val="22"/>
          <w:szCs w:val="22"/>
        </w:rPr>
      </w:pPr>
    </w:p>
    <w:p w:rsidR="004F39DA" w:rsidRPr="00632A65" w:rsidRDefault="004F39DA" w:rsidP="00E11CA8">
      <w:pPr>
        <w:numPr>
          <w:ilvl w:val="0"/>
          <w:numId w:val="15"/>
        </w:numPr>
        <w:spacing w:before="120" w:after="60"/>
        <w:contextualSpacing/>
        <w:jc w:val="both"/>
        <w:rPr>
          <w:rFonts w:ascii="Arial" w:hAnsi="Arial" w:cs="Arial"/>
          <w:sz w:val="22"/>
          <w:szCs w:val="22"/>
        </w:rPr>
      </w:pPr>
      <w:r w:rsidRPr="00632A65">
        <w:rPr>
          <w:rFonts w:ascii="Arial" w:hAnsi="Arial" w:cs="Arial"/>
          <w:sz w:val="22"/>
          <w:szCs w:val="22"/>
        </w:rPr>
        <w:t xml:space="preserve">si è chiusa con un risultato di amministrazione al 31/12/2015 così distinto ai sensi dell’art.187 del </w:t>
      </w:r>
      <w:r>
        <w:rPr>
          <w:rFonts w:ascii="Arial" w:hAnsi="Arial" w:cs="Arial"/>
          <w:sz w:val="22"/>
          <w:szCs w:val="22"/>
        </w:rPr>
        <w:t>TUEL</w:t>
      </w:r>
      <w:r w:rsidRPr="00632A65">
        <w:rPr>
          <w:rFonts w:ascii="Arial" w:hAnsi="Arial" w:cs="Arial"/>
          <w:sz w:val="22"/>
          <w:szCs w:val="22"/>
        </w:rPr>
        <w:t>:</w:t>
      </w:r>
    </w:p>
    <w:p w:rsidR="004F39DA" w:rsidRPr="00632A65" w:rsidRDefault="004F39DA" w:rsidP="003D76D9">
      <w:pPr>
        <w:spacing w:before="120" w:after="60"/>
        <w:jc w:val="both"/>
        <w:rPr>
          <w:rFonts w:ascii="Arial" w:hAnsi="Arial" w:cs="Arial"/>
          <w:sz w:val="22"/>
          <w:szCs w:val="22"/>
        </w:rPr>
      </w:pPr>
    </w:p>
    <w:p w:rsidR="004F39DA" w:rsidRPr="00632A65" w:rsidRDefault="004F39DA" w:rsidP="003D76D9">
      <w:pPr>
        <w:spacing w:before="120" w:after="60"/>
        <w:jc w:val="both"/>
        <w:rPr>
          <w:rFonts w:ascii="Arial" w:hAnsi="Arial" w:cs="Arial"/>
          <w:sz w:val="22"/>
          <w:szCs w:val="22"/>
        </w:rPr>
      </w:pPr>
      <w:r w:rsidRPr="00632A65">
        <w:rPr>
          <w:rFonts w:ascii="Arial" w:hAnsi="Arial" w:cs="Arial"/>
          <w:sz w:val="22"/>
          <w:szCs w:val="22"/>
        </w:rPr>
        <w:object w:dxaOrig="8270" w:dyaOrig="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116.25pt" o:ole="">
            <v:imagedata r:id="rId11" o:title=""/>
          </v:shape>
          <o:OLEObject Type="Embed" ProgID="Excel.Sheet.12" ShapeID="_x0000_i1025" DrawAspect="Content" ObjectID="_1547456127" r:id="rId12"/>
        </w:object>
      </w:r>
    </w:p>
    <w:p w:rsidR="004F39DA" w:rsidRPr="00632A65" w:rsidRDefault="004F39DA" w:rsidP="003D76D9">
      <w:pPr>
        <w:spacing w:before="120" w:after="60"/>
        <w:jc w:val="both"/>
        <w:rPr>
          <w:rFonts w:ascii="Arial" w:hAnsi="Arial" w:cs="Arial"/>
          <w:sz w:val="22"/>
          <w:szCs w:val="22"/>
        </w:rPr>
      </w:pPr>
    </w:p>
    <w:p w:rsidR="004F39DA" w:rsidRDefault="004F39DA" w:rsidP="003D76D9">
      <w:pPr>
        <w:rPr>
          <w:rFonts w:ascii="Arial" w:hAnsi="Arial" w:cs="Arial"/>
          <w:sz w:val="22"/>
          <w:szCs w:val="22"/>
        </w:rPr>
      </w:pPr>
      <w:r w:rsidRPr="00632A65">
        <w:rPr>
          <w:rFonts w:ascii="Arial" w:hAnsi="Arial" w:cs="Arial"/>
          <w:sz w:val="22"/>
          <w:szCs w:val="22"/>
        </w:rPr>
        <w:t xml:space="preserve">Dalle comunicazioni ricevute risultano </w:t>
      </w:r>
      <w:r>
        <w:rPr>
          <w:rFonts w:ascii="Arial" w:hAnsi="Arial" w:cs="Arial"/>
          <w:sz w:val="22"/>
          <w:szCs w:val="22"/>
        </w:rPr>
        <w:t xml:space="preserve">i </w:t>
      </w:r>
      <w:r w:rsidRPr="00632A65">
        <w:rPr>
          <w:rFonts w:ascii="Arial" w:hAnsi="Arial" w:cs="Arial"/>
          <w:sz w:val="22"/>
          <w:szCs w:val="22"/>
        </w:rPr>
        <w:t>debiti fuori bilanc</w:t>
      </w:r>
      <w:r>
        <w:rPr>
          <w:rFonts w:ascii="Arial" w:hAnsi="Arial" w:cs="Arial"/>
          <w:sz w:val="22"/>
          <w:szCs w:val="22"/>
        </w:rPr>
        <w:t>io da riconoscere e finanziare:</w:t>
      </w:r>
    </w:p>
    <w:p w:rsidR="004F39DA" w:rsidRDefault="004F39DA" w:rsidP="00E11CA8">
      <w:pPr>
        <w:pStyle w:val="ListParagraph"/>
        <w:numPr>
          <w:ilvl w:val="1"/>
          <w:numId w:val="2"/>
        </w:numPr>
        <w:rPr>
          <w:rFonts w:ascii="Arial" w:hAnsi="Arial" w:cs="Arial"/>
          <w:sz w:val="22"/>
          <w:szCs w:val="22"/>
        </w:rPr>
      </w:pPr>
      <w:r w:rsidRPr="001D19A5">
        <w:rPr>
          <w:rFonts w:ascii="Arial" w:hAnsi="Arial" w:cs="Arial"/>
          <w:sz w:val="22"/>
          <w:szCs w:val="22"/>
        </w:rPr>
        <w:t>€</w:t>
      </w:r>
      <w:r>
        <w:rPr>
          <w:rFonts w:ascii="Arial" w:hAnsi="Arial" w:cs="Arial"/>
          <w:sz w:val="22"/>
          <w:szCs w:val="22"/>
        </w:rPr>
        <w:t xml:space="preserve"> 411,35 segnalati dal Settore Socio assistenziale;</w:t>
      </w:r>
    </w:p>
    <w:p w:rsidR="004F39DA" w:rsidRPr="001D19A5" w:rsidRDefault="004F39DA" w:rsidP="00E11CA8">
      <w:pPr>
        <w:pStyle w:val="ListParagraph"/>
        <w:numPr>
          <w:ilvl w:val="1"/>
          <w:numId w:val="2"/>
        </w:numPr>
        <w:rPr>
          <w:rFonts w:ascii="Arial" w:hAnsi="Arial" w:cs="Arial"/>
          <w:sz w:val="22"/>
          <w:szCs w:val="22"/>
        </w:rPr>
      </w:pPr>
      <w:r>
        <w:rPr>
          <w:rFonts w:ascii="Arial" w:hAnsi="Arial" w:cs="Arial"/>
          <w:sz w:val="22"/>
          <w:szCs w:val="22"/>
        </w:rPr>
        <w:t xml:space="preserve">€ 2.732,00 </w:t>
      </w:r>
      <w:r w:rsidRPr="001D19A5">
        <w:rPr>
          <w:rFonts w:ascii="Arial" w:hAnsi="Arial" w:cs="Arial"/>
          <w:sz w:val="22"/>
          <w:szCs w:val="22"/>
        </w:rPr>
        <w:t>segnalati</w:t>
      </w:r>
      <w:r>
        <w:rPr>
          <w:rFonts w:ascii="Arial" w:hAnsi="Arial" w:cs="Arial"/>
          <w:sz w:val="22"/>
          <w:szCs w:val="22"/>
        </w:rPr>
        <w:t xml:space="preserve"> dal Settore Amministrativo.</w:t>
      </w:r>
    </w:p>
    <w:p w:rsidR="004F39DA" w:rsidRPr="00632A65" w:rsidRDefault="004F39DA" w:rsidP="003D76D9">
      <w:pPr>
        <w:rPr>
          <w:rFonts w:ascii="Arial" w:hAnsi="Arial" w:cs="Arial"/>
          <w:sz w:val="22"/>
          <w:szCs w:val="22"/>
        </w:rPr>
      </w:pPr>
    </w:p>
    <w:p w:rsidR="004F39DA" w:rsidRDefault="004F39DA" w:rsidP="003D76D9">
      <w:pPr>
        <w:rPr>
          <w:rFonts w:ascii="Arial" w:hAnsi="Arial" w:cs="Arial"/>
          <w:sz w:val="22"/>
          <w:szCs w:val="22"/>
        </w:rPr>
      </w:pPr>
      <w:r w:rsidRPr="00632A65">
        <w:rPr>
          <w:rFonts w:ascii="Arial" w:hAnsi="Arial" w:cs="Arial"/>
          <w:sz w:val="22"/>
          <w:szCs w:val="22"/>
        </w:rPr>
        <w:t xml:space="preserve">Dalle comunicazioni ricevute risultano </w:t>
      </w:r>
      <w:r>
        <w:rPr>
          <w:rFonts w:ascii="Arial" w:hAnsi="Arial" w:cs="Arial"/>
          <w:sz w:val="22"/>
          <w:szCs w:val="22"/>
        </w:rPr>
        <w:t xml:space="preserve">le seguenti </w:t>
      </w:r>
      <w:r w:rsidRPr="00632A65">
        <w:rPr>
          <w:rFonts w:ascii="Arial" w:hAnsi="Arial" w:cs="Arial"/>
          <w:sz w:val="22"/>
          <w:szCs w:val="22"/>
        </w:rPr>
        <w:t>passività potenziali probabili</w:t>
      </w:r>
      <w:r>
        <w:rPr>
          <w:rFonts w:ascii="Arial" w:hAnsi="Arial" w:cs="Arial"/>
          <w:sz w:val="22"/>
          <w:szCs w:val="22"/>
        </w:rPr>
        <w:t>:</w:t>
      </w:r>
    </w:p>
    <w:p w:rsidR="004F39DA" w:rsidRPr="001D19A5" w:rsidRDefault="004F39DA" w:rsidP="00E11CA8">
      <w:pPr>
        <w:pStyle w:val="ListParagraph"/>
        <w:numPr>
          <w:ilvl w:val="0"/>
          <w:numId w:val="20"/>
        </w:numPr>
        <w:rPr>
          <w:rFonts w:ascii="Arial" w:hAnsi="Arial" w:cs="Arial"/>
          <w:sz w:val="22"/>
          <w:szCs w:val="22"/>
        </w:rPr>
      </w:pPr>
      <w:r>
        <w:rPr>
          <w:rFonts w:ascii="Arial" w:hAnsi="Arial" w:cs="Arial"/>
          <w:sz w:val="22"/>
          <w:szCs w:val="22"/>
        </w:rPr>
        <w:t>€ 110.117,99 segnalati dal settore Economico – Finanziario, per debiti relativi ad interessi di mora correlati ad un atto di diffida presentato da INPS, gestione ex INPDAP, per un mutuo contratto nell’anno 1978.</w:t>
      </w:r>
    </w:p>
    <w:p w:rsidR="004F39DA" w:rsidRPr="00632A65" w:rsidRDefault="004F39DA" w:rsidP="003D76D9">
      <w:pPr>
        <w:tabs>
          <w:tab w:val="num" w:pos="1260"/>
        </w:tabs>
        <w:rPr>
          <w:rFonts w:ascii="Arial" w:hAnsi="Arial" w:cs="Arial"/>
          <w:sz w:val="22"/>
          <w:szCs w:val="22"/>
        </w:rPr>
      </w:pPr>
    </w:p>
    <w:p w:rsidR="004F39DA" w:rsidRPr="00632A65" w:rsidRDefault="004F39DA" w:rsidP="003D76D9">
      <w:pPr>
        <w:tabs>
          <w:tab w:val="num" w:pos="1260"/>
        </w:tabs>
        <w:jc w:val="both"/>
        <w:rPr>
          <w:rFonts w:ascii="Arial" w:hAnsi="Arial" w:cs="Arial"/>
          <w:sz w:val="22"/>
          <w:szCs w:val="22"/>
        </w:rPr>
      </w:pPr>
    </w:p>
    <w:p w:rsidR="004F39DA" w:rsidRPr="00632A65" w:rsidRDefault="004F39DA" w:rsidP="003D76D9">
      <w:pPr>
        <w:rPr>
          <w:rFonts w:ascii="Arial" w:hAnsi="Arial" w:cs="Arial"/>
        </w:rPr>
      </w:pPr>
      <w:r w:rsidRPr="00632A65">
        <w:rPr>
          <w:rFonts w:ascii="Arial" w:hAnsi="Arial" w:cs="Arial"/>
        </w:rPr>
        <w:br w:type="page"/>
      </w:r>
    </w:p>
    <w:p w:rsidR="004F39DA" w:rsidRPr="00632A65" w:rsidRDefault="004F39DA" w:rsidP="003D76D9">
      <w:pPr>
        <w:pStyle w:val="Heading1"/>
        <w:shd w:val="clear" w:color="auto" w:fill="B6DDE8"/>
      </w:pPr>
      <w:bookmarkStart w:id="10" w:name="_Toc346838818"/>
      <w:bookmarkStart w:id="11" w:name="_Toc314835179"/>
      <w:r w:rsidRPr="00632A65">
        <w:t>BILANCIO DI PREVISIONE 2016</w:t>
      </w:r>
      <w:bookmarkEnd w:id="10"/>
      <w:r w:rsidRPr="00632A65">
        <w:t>-2018</w:t>
      </w:r>
      <w:bookmarkEnd w:id="11"/>
    </w:p>
    <w:p w:rsidR="004F39DA" w:rsidRPr="00632A65" w:rsidRDefault="004F39DA" w:rsidP="003D76D9">
      <w:pPr>
        <w:pStyle w:val="BodyText2"/>
        <w:jc w:val="both"/>
        <w:rPr>
          <w:b/>
          <w:sz w:val="20"/>
          <w:u w:val="single"/>
        </w:rPr>
      </w:pPr>
    </w:p>
    <w:p w:rsidR="004F39DA" w:rsidRPr="00632A65" w:rsidRDefault="004F39DA" w:rsidP="003D76D9">
      <w:pPr>
        <w:autoSpaceDE w:val="0"/>
        <w:autoSpaceDN w:val="0"/>
        <w:adjustRightInd w:val="0"/>
        <w:jc w:val="both"/>
        <w:rPr>
          <w:rFonts w:ascii="Arial" w:hAnsi="Arial" w:cs="Arial"/>
          <w:sz w:val="22"/>
          <w:szCs w:val="22"/>
        </w:rPr>
      </w:pPr>
      <w:bookmarkStart w:id="12" w:name="_Toc346838819"/>
      <w:r>
        <w:rPr>
          <w:rFonts w:ascii="Arial" w:hAnsi="Arial" w:cs="Arial"/>
          <w:sz w:val="22"/>
          <w:szCs w:val="22"/>
        </w:rPr>
        <w:t>Il Revisore dei Conti</w:t>
      </w:r>
      <w:r w:rsidRPr="00632A65">
        <w:rPr>
          <w:rFonts w:ascii="Arial" w:hAnsi="Arial" w:cs="Arial"/>
          <w:sz w:val="22"/>
          <w:szCs w:val="22"/>
        </w:rPr>
        <w:t xml:space="preserve"> ha verificato che tutti i documenti contabili sono stati predisposti e redatti sulla base del sistema di codifica della contabilità armonizzata.</w:t>
      </w:r>
    </w:p>
    <w:p w:rsidR="004F39DA" w:rsidRPr="00632A65" w:rsidRDefault="004F39DA" w:rsidP="003D76D9">
      <w:pPr>
        <w:autoSpaceDE w:val="0"/>
        <w:autoSpaceDN w:val="0"/>
        <w:adjustRightInd w:val="0"/>
        <w:jc w:val="both"/>
        <w:rPr>
          <w:rFonts w:ascii="Arial" w:hAnsi="Arial" w:cs="Arial"/>
          <w:sz w:val="22"/>
          <w:szCs w:val="22"/>
        </w:rPr>
      </w:pPr>
      <w:r w:rsidRPr="00632A65">
        <w:rPr>
          <w:rFonts w:ascii="Arial" w:hAnsi="Arial" w:cs="Arial"/>
          <w:sz w:val="22"/>
          <w:szCs w:val="22"/>
        </w:rPr>
        <w:t xml:space="preserve">Le previsioni di competenza per gli anni 2016, 2017 e 2018 confrontate con le previsioni definitive per l’anno 2015 sono così formulate: </w:t>
      </w:r>
    </w:p>
    <w:p w:rsidR="004F39DA" w:rsidRPr="00632A65" w:rsidRDefault="004F39DA" w:rsidP="003D76D9">
      <w:pPr>
        <w:pStyle w:val="Heading2"/>
      </w:pPr>
    </w:p>
    <w:p w:rsidR="004F39DA" w:rsidRPr="00632A65" w:rsidRDefault="004F39DA" w:rsidP="003D76D9">
      <w:pPr>
        <w:pStyle w:val="Heading2"/>
      </w:pPr>
      <w:bookmarkStart w:id="13" w:name="_Toc314835180"/>
      <w:r w:rsidRPr="00632A65">
        <w:t>1. Riepilogo generale entrate e spese per titoli</w:t>
      </w:r>
      <w:bookmarkEnd w:id="12"/>
      <w:bookmarkEnd w:id="13"/>
    </w:p>
    <w:p w:rsidR="004F39DA" w:rsidRPr="00632A65" w:rsidRDefault="004F39DA" w:rsidP="003D76D9">
      <w:pPr>
        <w:rPr>
          <w:rFonts w:ascii="Arial" w:hAnsi="Arial" w:cs="Arial"/>
        </w:rPr>
      </w:pPr>
    </w:p>
    <w:p w:rsidR="004F39DA" w:rsidRPr="00632A65" w:rsidRDefault="004F39DA" w:rsidP="003D76D9">
      <w:pPr>
        <w:ind w:right="-53"/>
        <w:rPr>
          <w:rFonts w:ascii="Arial" w:hAnsi="Arial" w:cs="Arial"/>
        </w:rPr>
      </w:pPr>
      <w:r w:rsidRPr="00632A65">
        <w:rPr>
          <w:rFonts w:ascii="Arial" w:hAnsi="Arial" w:cs="Arial"/>
        </w:rPr>
        <w:object w:dxaOrig="10567" w:dyaOrig="6439">
          <v:shape id="_x0000_i1026" type="#_x0000_t75" style="width:480.75pt;height:293.25pt" o:ole="">
            <v:imagedata r:id="rId13" o:title=""/>
          </v:shape>
          <o:OLEObject Type="Embed" ProgID="Excel.Sheet.8" ShapeID="_x0000_i1026" DrawAspect="Content" ObjectID="_1547456128" r:id="rId14"/>
        </w:object>
      </w:r>
    </w:p>
    <w:p w:rsidR="004F39DA" w:rsidRPr="00632A65" w:rsidRDefault="004F39DA" w:rsidP="003D76D9">
      <w:pPr>
        <w:rPr>
          <w:rFonts w:ascii="Arial" w:hAnsi="Arial" w:cs="Arial"/>
        </w:rPr>
      </w:pPr>
    </w:p>
    <w:p w:rsidR="004F39DA" w:rsidRPr="00632A65" w:rsidRDefault="004F39DA" w:rsidP="003D76D9">
      <w:pPr>
        <w:pStyle w:val="BodyText2"/>
        <w:jc w:val="both"/>
        <w:rPr>
          <w:b/>
          <w:sz w:val="20"/>
          <w:u w:val="single"/>
        </w:rPr>
      </w:pPr>
    </w:p>
    <w:p w:rsidR="004F39DA" w:rsidRPr="00632A65" w:rsidRDefault="004F39DA" w:rsidP="003D76D9">
      <w:pPr>
        <w:pStyle w:val="BodyText2"/>
        <w:spacing w:before="120"/>
        <w:jc w:val="both"/>
        <w:rPr>
          <w:sz w:val="20"/>
        </w:rPr>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pStyle w:val="Heading2"/>
      </w:pPr>
    </w:p>
    <w:p w:rsidR="004F39DA" w:rsidRPr="00632A65" w:rsidRDefault="004F39DA" w:rsidP="003D76D9">
      <w:pPr>
        <w:rPr>
          <w:rFonts w:ascii="Arial" w:hAnsi="Arial" w:cs="Arial"/>
        </w:rPr>
      </w:pPr>
    </w:p>
    <w:p w:rsidR="004F39DA" w:rsidRPr="00632A65" w:rsidRDefault="004F39DA" w:rsidP="003D76D9">
      <w:pPr>
        <w:rPr>
          <w:rFonts w:ascii="Arial" w:hAnsi="Arial" w:cs="Arial"/>
        </w:rPr>
      </w:pPr>
      <w:r w:rsidRPr="00632A65">
        <w:rPr>
          <w:rFonts w:ascii="Arial" w:hAnsi="Arial" w:cs="Arial"/>
        </w:rPr>
        <w:object w:dxaOrig="10764" w:dyaOrig="11581">
          <v:shape id="_x0000_i1027" type="#_x0000_t75" style="width:479.25pt;height:515.25pt" o:ole="">
            <v:imagedata r:id="rId15" o:title=""/>
          </v:shape>
          <o:OLEObject Type="Embed" ProgID="Excel.Sheet.12" ShapeID="_x0000_i1027" DrawAspect="Content" ObjectID="_1547456129" r:id="rId16"/>
        </w:object>
      </w:r>
    </w:p>
    <w:p w:rsidR="004F39DA" w:rsidRPr="00632A65" w:rsidRDefault="004F39DA" w:rsidP="003D76D9">
      <w:pPr>
        <w:rPr>
          <w:rFonts w:ascii="Arial" w:hAnsi="Arial" w:cs="Arial"/>
        </w:rPr>
      </w:pPr>
    </w:p>
    <w:p w:rsidR="004F39DA" w:rsidRPr="00632A65" w:rsidRDefault="004F39DA" w:rsidP="003D76D9">
      <w:pPr>
        <w:pStyle w:val="BodyText2"/>
        <w:spacing w:before="120"/>
        <w:jc w:val="both"/>
        <w:rPr>
          <w:szCs w:val="22"/>
        </w:rPr>
      </w:pPr>
      <w:r w:rsidRPr="00632A65">
        <w:rPr>
          <w:szCs w:val="22"/>
        </w:rPr>
        <w:t>Le previsioni di competenza rispettano il principio generale n.16 e rappresentano le entrate e le spese che si prevede saranno esigibili in ciascuno degli esercizi considerati anche se l’obbligazione giuridica è sorta in esercizi precedenti.</w:t>
      </w:r>
    </w:p>
    <w:p w:rsidR="004F39DA" w:rsidRPr="00632A65" w:rsidRDefault="004F39DA" w:rsidP="003D76D9">
      <w:pPr>
        <w:pStyle w:val="BodyText2"/>
        <w:spacing w:before="120"/>
        <w:jc w:val="both"/>
        <w:rPr>
          <w:sz w:val="24"/>
        </w:rPr>
      </w:pPr>
    </w:p>
    <w:p w:rsidR="004F39DA" w:rsidRPr="00632A65" w:rsidRDefault="004F39DA" w:rsidP="003D76D9">
      <w:pPr>
        <w:pStyle w:val="BodyText2"/>
        <w:spacing w:before="120"/>
        <w:jc w:val="both"/>
        <w:rPr>
          <w:sz w:val="24"/>
        </w:rPr>
      </w:pPr>
    </w:p>
    <w:p w:rsidR="004F39DA" w:rsidRPr="00632A65" w:rsidRDefault="004F39DA" w:rsidP="003D76D9">
      <w:pPr>
        <w:rPr>
          <w:rFonts w:ascii="Arial" w:hAnsi="Arial" w:cs="Arial"/>
          <w:b/>
          <w:sz w:val="22"/>
          <w:szCs w:val="22"/>
          <w:u w:val="single"/>
        </w:rPr>
      </w:pPr>
      <w:r w:rsidRPr="00632A65">
        <w:rPr>
          <w:rFonts w:ascii="Arial" w:hAnsi="Arial" w:cs="Arial"/>
          <w:b/>
          <w:sz w:val="22"/>
          <w:szCs w:val="22"/>
          <w:u w:val="single"/>
        </w:rPr>
        <w:t>1.1 Fondo pluriennale vincolato (FPV)</w:t>
      </w:r>
    </w:p>
    <w:p w:rsidR="004F39DA" w:rsidRPr="00632A65" w:rsidRDefault="004F39DA" w:rsidP="003D76D9">
      <w:pPr>
        <w:autoSpaceDE w:val="0"/>
        <w:autoSpaceDN w:val="0"/>
        <w:adjustRightInd w:val="0"/>
        <w:rPr>
          <w:rFonts w:ascii="Arial" w:hAnsi="Arial" w:cs="Arial"/>
          <w:b/>
          <w:bCs/>
          <w:color w:val="000000"/>
        </w:rPr>
      </w:pPr>
    </w:p>
    <w:p w:rsidR="004F39DA" w:rsidRPr="00632A65" w:rsidRDefault="004F39DA" w:rsidP="003D76D9">
      <w:pPr>
        <w:autoSpaceDE w:val="0"/>
        <w:autoSpaceDN w:val="0"/>
        <w:adjustRightInd w:val="0"/>
        <w:jc w:val="both"/>
        <w:rPr>
          <w:rFonts w:ascii="Arial" w:hAnsi="Arial" w:cs="Arial"/>
          <w:color w:val="000000"/>
          <w:sz w:val="22"/>
          <w:szCs w:val="22"/>
        </w:rPr>
      </w:pPr>
      <w:r w:rsidRPr="00632A65">
        <w:rPr>
          <w:rFonts w:ascii="Arial" w:hAnsi="Arial" w:cs="Arial"/>
          <w:color w:val="000000"/>
          <w:sz w:val="22"/>
          <w:szCs w:val="22"/>
        </w:rPr>
        <w:t>Il Fondo pluriennale vincolato indica le spese che si prevede di impegnare nell’esercizio con imputazione agli esercizi successivi, o già impegnate negli esercizi precedenti con imputazione agli esercizi successivi, la cui copertura è costituita da entrate che si prevede di accertare nel corso dell’esercizio, o da entrate già accertate negli esercizi precedenti e iscritte nel fondo pluriennale previsto tra le entrate.</w:t>
      </w:r>
    </w:p>
    <w:p w:rsidR="004F39DA" w:rsidRPr="00632A65" w:rsidRDefault="004F39DA" w:rsidP="003D76D9">
      <w:pPr>
        <w:autoSpaceDE w:val="0"/>
        <w:autoSpaceDN w:val="0"/>
        <w:adjustRightInd w:val="0"/>
        <w:jc w:val="both"/>
        <w:rPr>
          <w:rFonts w:ascii="Arial" w:hAnsi="Arial" w:cs="Arial"/>
          <w:color w:val="000000"/>
          <w:sz w:val="22"/>
          <w:szCs w:val="22"/>
        </w:rPr>
      </w:pPr>
      <w:r w:rsidRPr="00632A65">
        <w:rPr>
          <w:rFonts w:ascii="Arial" w:hAnsi="Arial" w:cs="Arial"/>
          <w:color w:val="000000"/>
          <w:sz w:val="22"/>
          <w:szCs w:val="22"/>
        </w:rPr>
        <w:t>Il Fondo garantisce la copertura di spese imputate agli esercizi successivi a quello in corso, in cui il Fondo si è generato che nasce dall’esigenza di applicare il principio della competenza finanziaria di cui all’allegato 4/2 al d.lgs.118/2011 e rendere evidente la distanza temporale intercorrente tra l’acquisizione dei finanziamenti e l’effettivo impiego di tali risorse.</w:t>
      </w:r>
    </w:p>
    <w:p w:rsidR="004F39DA" w:rsidRPr="00632A65" w:rsidRDefault="004F39DA" w:rsidP="003D76D9">
      <w:pPr>
        <w:autoSpaceDE w:val="0"/>
        <w:autoSpaceDN w:val="0"/>
        <w:adjustRightInd w:val="0"/>
        <w:jc w:val="both"/>
        <w:rPr>
          <w:rFonts w:ascii="Arial" w:hAnsi="Arial" w:cs="Arial"/>
          <w:color w:val="000000"/>
          <w:sz w:val="22"/>
          <w:szCs w:val="22"/>
        </w:rPr>
      </w:pPr>
      <w:r>
        <w:rPr>
          <w:rFonts w:ascii="Arial" w:hAnsi="Arial" w:cs="Arial"/>
          <w:color w:val="000000"/>
          <w:sz w:val="22"/>
          <w:szCs w:val="22"/>
        </w:rPr>
        <w:t>Il Revisore dei Conti</w:t>
      </w:r>
      <w:r w:rsidRPr="00632A65">
        <w:rPr>
          <w:rFonts w:ascii="Arial" w:hAnsi="Arial" w:cs="Arial"/>
          <w:color w:val="000000"/>
          <w:sz w:val="22"/>
          <w:szCs w:val="22"/>
        </w:rPr>
        <w:t xml:space="preserve"> ha verificato con la tecnica del campionamento:</w:t>
      </w:r>
    </w:p>
    <w:p w:rsidR="004F39DA" w:rsidRPr="00632A65" w:rsidRDefault="004F39DA" w:rsidP="00E11CA8">
      <w:pPr>
        <w:numPr>
          <w:ilvl w:val="0"/>
          <w:numId w:val="17"/>
        </w:numPr>
        <w:autoSpaceDE w:val="0"/>
        <w:autoSpaceDN w:val="0"/>
        <w:adjustRightInd w:val="0"/>
        <w:contextualSpacing/>
        <w:jc w:val="both"/>
        <w:rPr>
          <w:rFonts w:ascii="Arial" w:hAnsi="Arial" w:cs="Arial"/>
          <w:color w:val="000000"/>
          <w:sz w:val="22"/>
          <w:szCs w:val="22"/>
        </w:rPr>
      </w:pPr>
      <w:r w:rsidRPr="00632A65">
        <w:rPr>
          <w:rFonts w:ascii="Arial" w:hAnsi="Arial" w:cs="Arial"/>
          <w:color w:val="000000"/>
          <w:sz w:val="22"/>
          <w:szCs w:val="22"/>
        </w:rPr>
        <w:t>la fonte di finanziamento del FPV di parte corrente e di parte capitale;</w:t>
      </w:r>
    </w:p>
    <w:p w:rsidR="004F39DA" w:rsidRPr="00632A65" w:rsidRDefault="004F39DA" w:rsidP="00E11CA8">
      <w:pPr>
        <w:numPr>
          <w:ilvl w:val="0"/>
          <w:numId w:val="17"/>
        </w:numPr>
        <w:autoSpaceDE w:val="0"/>
        <w:autoSpaceDN w:val="0"/>
        <w:adjustRightInd w:val="0"/>
        <w:contextualSpacing/>
        <w:jc w:val="both"/>
        <w:rPr>
          <w:rFonts w:ascii="Arial" w:hAnsi="Arial" w:cs="Arial"/>
          <w:color w:val="000000"/>
          <w:sz w:val="22"/>
          <w:szCs w:val="22"/>
        </w:rPr>
      </w:pPr>
      <w:r>
        <w:rPr>
          <w:rFonts w:ascii="Arial" w:hAnsi="Arial" w:cs="Arial"/>
          <w:color w:val="000000"/>
          <w:sz w:val="22"/>
          <w:szCs w:val="22"/>
        </w:rPr>
        <w:t>non  risultano reimputazioni di entrata</w:t>
      </w:r>
      <w:r w:rsidRPr="00632A65">
        <w:rPr>
          <w:rFonts w:ascii="Arial" w:hAnsi="Arial" w:cs="Arial"/>
          <w:color w:val="000000"/>
          <w:sz w:val="22"/>
          <w:szCs w:val="22"/>
        </w:rPr>
        <w:t>;</w:t>
      </w:r>
    </w:p>
    <w:p w:rsidR="004F39DA" w:rsidRPr="00632A65" w:rsidRDefault="004F39DA" w:rsidP="00E11CA8">
      <w:pPr>
        <w:numPr>
          <w:ilvl w:val="0"/>
          <w:numId w:val="17"/>
        </w:numPr>
        <w:autoSpaceDE w:val="0"/>
        <w:autoSpaceDN w:val="0"/>
        <w:adjustRightInd w:val="0"/>
        <w:contextualSpacing/>
        <w:jc w:val="both"/>
        <w:rPr>
          <w:rFonts w:ascii="Arial" w:hAnsi="Arial" w:cs="Arial"/>
          <w:color w:val="000000"/>
          <w:sz w:val="22"/>
          <w:szCs w:val="22"/>
        </w:rPr>
      </w:pPr>
      <w:r w:rsidRPr="00632A65">
        <w:rPr>
          <w:rFonts w:ascii="Arial" w:hAnsi="Arial" w:cs="Arial"/>
          <w:color w:val="000000"/>
          <w:sz w:val="22"/>
          <w:szCs w:val="22"/>
        </w:rPr>
        <w:t>la costituzione del FPV in presenza di obbligazioni giuridiche passive perfezionate;</w:t>
      </w:r>
    </w:p>
    <w:p w:rsidR="004F39DA" w:rsidRPr="00632A65" w:rsidRDefault="004F39DA" w:rsidP="00E11CA8">
      <w:pPr>
        <w:numPr>
          <w:ilvl w:val="0"/>
          <w:numId w:val="17"/>
        </w:numPr>
        <w:autoSpaceDE w:val="0"/>
        <w:autoSpaceDN w:val="0"/>
        <w:adjustRightInd w:val="0"/>
        <w:contextualSpacing/>
        <w:jc w:val="both"/>
        <w:rPr>
          <w:rFonts w:ascii="Arial" w:hAnsi="Arial" w:cs="Arial"/>
          <w:color w:val="000000"/>
          <w:sz w:val="22"/>
          <w:szCs w:val="22"/>
        </w:rPr>
      </w:pPr>
      <w:r w:rsidRPr="00632A65">
        <w:rPr>
          <w:rFonts w:ascii="Arial" w:hAnsi="Arial" w:cs="Arial"/>
          <w:color w:val="000000"/>
          <w:sz w:val="22"/>
          <w:szCs w:val="22"/>
        </w:rPr>
        <w:t xml:space="preserve">la corretta applicazione dell’art.183, comma 3 del </w:t>
      </w:r>
      <w:r>
        <w:rPr>
          <w:rFonts w:ascii="Arial" w:hAnsi="Arial" w:cs="Arial"/>
          <w:color w:val="000000"/>
          <w:sz w:val="22"/>
          <w:szCs w:val="22"/>
        </w:rPr>
        <w:t>TUEL</w:t>
      </w:r>
      <w:r w:rsidRPr="00632A65">
        <w:rPr>
          <w:rFonts w:ascii="Arial" w:hAnsi="Arial" w:cs="Arial"/>
          <w:color w:val="000000"/>
          <w:sz w:val="22"/>
          <w:szCs w:val="22"/>
        </w:rPr>
        <w:t xml:space="preserve"> in ordine al FPV riferito ai lavori pubblici;</w:t>
      </w:r>
    </w:p>
    <w:p w:rsidR="004F39DA" w:rsidRPr="00632A65" w:rsidRDefault="004F39DA" w:rsidP="00E11CA8">
      <w:pPr>
        <w:numPr>
          <w:ilvl w:val="0"/>
          <w:numId w:val="17"/>
        </w:numPr>
        <w:autoSpaceDE w:val="0"/>
        <w:autoSpaceDN w:val="0"/>
        <w:adjustRightInd w:val="0"/>
        <w:contextualSpacing/>
        <w:jc w:val="both"/>
        <w:rPr>
          <w:rFonts w:ascii="Arial" w:hAnsi="Arial" w:cs="Arial"/>
          <w:color w:val="000000"/>
          <w:sz w:val="22"/>
          <w:szCs w:val="22"/>
        </w:rPr>
      </w:pPr>
      <w:r>
        <w:rPr>
          <w:rFonts w:ascii="Arial" w:hAnsi="Arial" w:cs="Arial"/>
          <w:color w:val="000000"/>
          <w:sz w:val="22"/>
          <w:szCs w:val="22"/>
        </w:rPr>
        <w:t xml:space="preserve">non  risultano reimputazioni di spesa </w:t>
      </w:r>
      <w:r w:rsidRPr="00632A65">
        <w:rPr>
          <w:rFonts w:ascii="Arial" w:hAnsi="Arial" w:cs="Arial"/>
          <w:color w:val="000000"/>
          <w:sz w:val="22"/>
          <w:szCs w:val="22"/>
        </w:rPr>
        <w:t xml:space="preserve">in ordine </w:t>
      </w:r>
      <w:r>
        <w:rPr>
          <w:rFonts w:ascii="Arial" w:hAnsi="Arial" w:cs="Arial"/>
          <w:color w:val="000000"/>
          <w:sz w:val="22"/>
          <w:szCs w:val="22"/>
        </w:rPr>
        <w:t>a lavori pubblici atteso che i medesimi risultano ultimati</w:t>
      </w:r>
      <w:r w:rsidRPr="00632A65">
        <w:rPr>
          <w:rFonts w:ascii="Arial" w:hAnsi="Arial" w:cs="Arial"/>
          <w:color w:val="000000"/>
          <w:sz w:val="22"/>
          <w:szCs w:val="22"/>
        </w:rPr>
        <w:t>;</w:t>
      </w:r>
    </w:p>
    <w:p w:rsidR="004F39DA" w:rsidRPr="00632A65" w:rsidRDefault="004F39DA" w:rsidP="00E11CA8">
      <w:pPr>
        <w:numPr>
          <w:ilvl w:val="0"/>
          <w:numId w:val="17"/>
        </w:numPr>
        <w:autoSpaceDE w:val="0"/>
        <w:autoSpaceDN w:val="0"/>
        <w:adjustRightInd w:val="0"/>
        <w:contextualSpacing/>
        <w:jc w:val="both"/>
        <w:rPr>
          <w:rFonts w:ascii="Arial" w:hAnsi="Arial" w:cs="Arial"/>
          <w:color w:val="000000"/>
          <w:sz w:val="22"/>
          <w:szCs w:val="22"/>
        </w:rPr>
      </w:pPr>
      <w:r w:rsidRPr="00632A65">
        <w:rPr>
          <w:rFonts w:ascii="Arial" w:hAnsi="Arial" w:cs="Arial"/>
          <w:color w:val="000000"/>
          <w:sz w:val="22"/>
          <w:szCs w:val="22"/>
        </w:rPr>
        <w:t>l’esigibilità dei residui passivi coperti da FPV ne</w:t>
      </w:r>
      <w:r>
        <w:rPr>
          <w:rFonts w:ascii="Arial" w:hAnsi="Arial" w:cs="Arial"/>
          <w:color w:val="000000"/>
          <w:sz w:val="22"/>
          <w:szCs w:val="22"/>
        </w:rPr>
        <w:t xml:space="preserve">ll’ </w:t>
      </w:r>
      <w:r w:rsidRPr="00632A65">
        <w:rPr>
          <w:rFonts w:ascii="Arial" w:hAnsi="Arial" w:cs="Arial"/>
          <w:color w:val="000000"/>
          <w:sz w:val="22"/>
          <w:szCs w:val="22"/>
        </w:rPr>
        <w:t>esercizi</w:t>
      </w:r>
      <w:r>
        <w:rPr>
          <w:rFonts w:ascii="Arial" w:hAnsi="Arial" w:cs="Arial"/>
          <w:color w:val="000000"/>
          <w:sz w:val="22"/>
          <w:szCs w:val="22"/>
        </w:rPr>
        <w:t xml:space="preserve">o </w:t>
      </w:r>
      <w:r w:rsidRPr="00632A65">
        <w:rPr>
          <w:rFonts w:ascii="Arial" w:hAnsi="Arial" w:cs="Arial"/>
          <w:color w:val="000000"/>
          <w:sz w:val="22"/>
          <w:szCs w:val="22"/>
        </w:rPr>
        <w:t>2016.</w:t>
      </w:r>
    </w:p>
    <w:p w:rsidR="004F39DA" w:rsidRPr="00632A65" w:rsidRDefault="004F39DA" w:rsidP="003D76D9">
      <w:pPr>
        <w:rPr>
          <w:rFonts w:ascii="Arial" w:hAnsi="Arial" w:cs="Arial"/>
          <w:b/>
        </w:rPr>
      </w:pPr>
    </w:p>
    <w:p w:rsidR="004F39DA" w:rsidRPr="00632A65" w:rsidRDefault="004F39DA" w:rsidP="003D76D9">
      <w:pPr>
        <w:rPr>
          <w:rFonts w:ascii="Arial" w:hAnsi="Arial" w:cs="Arial"/>
          <w:b/>
        </w:rPr>
      </w:pPr>
      <w:r>
        <w:rPr>
          <w:rFonts w:ascii="Arial" w:hAnsi="Arial" w:cs="Arial"/>
          <w:b/>
        </w:rPr>
        <w:br w:type="page"/>
      </w:r>
    </w:p>
    <w:p w:rsidR="004F39DA" w:rsidRPr="00632A65" w:rsidRDefault="004F39DA" w:rsidP="003D76D9">
      <w:pPr>
        <w:pStyle w:val="Heading2"/>
      </w:pPr>
      <w:bookmarkStart w:id="14" w:name="_Toc314835181"/>
      <w:r w:rsidRPr="00632A65">
        <w:t>2. Previsioni di cassa</w:t>
      </w:r>
      <w:bookmarkEnd w:id="14"/>
      <w:r w:rsidRPr="00632A65">
        <w:t xml:space="preserve"> </w:t>
      </w:r>
    </w:p>
    <w:p w:rsidR="004F39DA" w:rsidRPr="00632A65" w:rsidRDefault="004F39DA" w:rsidP="003D76D9">
      <w:pPr>
        <w:rPr>
          <w:rFonts w:ascii="Arial" w:hAnsi="Arial" w:cs="Arial"/>
          <w:b/>
        </w:rPr>
      </w:pPr>
    </w:p>
    <w:p w:rsidR="004F39DA" w:rsidRPr="00632A65" w:rsidRDefault="004F39DA" w:rsidP="003D76D9">
      <w:pPr>
        <w:rPr>
          <w:rFonts w:ascii="Arial" w:hAnsi="Arial" w:cs="Arial"/>
          <w:b/>
        </w:rPr>
      </w:pPr>
      <w:r w:rsidRPr="00632A65">
        <w:rPr>
          <w:rFonts w:ascii="Arial" w:hAnsi="Arial" w:cs="Arial"/>
          <w:b/>
        </w:rPr>
        <w:object w:dxaOrig="9711" w:dyaOrig="5114">
          <v:shape id="_x0000_i1028" type="#_x0000_t75" style="width:480.75pt;height:253.5pt" o:ole="">
            <v:imagedata r:id="rId17" o:title=""/>
          </v:shape>
          <o:OLEObject Type="Embed" ProgID="Excel.Sheet.8" ShapeID="_x0000_i1028" DrawAspect="Content" ObjectID="_1547456130" r:id="rId18"/>
        </w:object>
      </w:r>
    </w:p>
    <w:p w:rsidR="004F39DA" w:rsidRPr="00632A65" w:rsidRDefault="004F39DA" w:rsidP="003D76D9">
      <w:pPr>
        <w:pStyle w:val="Heading2"/>
        <w:rPr>
          <w:b w:val="0"/>
          <w:sz w:val="22"/>
          <w:szCs w:val="22"/>
          <w:u w:val="none"/>
        </w:rPr>
      </w:pPr>
      <w:bookmarkStart w:id="15" w:name="_2._Verifica_equilibrio"/>
      <w:bookmarkStart w:id="16" w:name="_Toc346838820"/>
      <w:bookmarkEnd w:id="15"/>
    </w:p>
    <w:p w:rsidR="004F39DA" w:rsidRPr="00632A65" w:rsidRDefault="004F39DA" w:rsidP="003D76D9">
      <w:pPr>
        <w:jc w:val="both"/>
        <w:rPr>
          <w:rFonts w:ascii="Arial" w:hAnsi="Arial" w:cs="Arial"/>
          <w:color w:val="000000"/>
          <w:sz w:val="22"/>
          <w:szCs w:val="22"/>
        </w:rPr>
      </w:pPr>
      <w:r w:rsidRPr="00632A65">
        <w:rPr>
          <w:rFonts w:ascii="Arial" w:hAnsi="Arial" w:cs="Arial"/>
          <w:color w:val="000000"/>
          <w:sz w:val="22"/>
          <w:szCs w:val="22"/>
        </w:rPr>
        <w:t>Gli stanziamenti di cassa comprendono le previsioni di riscossioni e pagamenti in conto competenza e in conto residui e sono elaborate in considerazione dei presumibili ritardi nella riscossione e nei pagamenti delle obbligazioni già esigibili.</w:t>
      </w:r>
    </w:p>
    <w:p w:rsidR="004F39DA" w:rsidRPr="00632A65" w:rsidRDefault="004F39DA" w:rsidP="003D76D9">
      <w:pPr>
        <w:pStyle w:val="Heading2"/>
        <w:rPr>
          <w:b w:val="0"/>
          <w:sz w:val="22"/>
          <w:szCs w:val="22"/>
          <w:u w:val="none"/>
        </w:rPr>
      </w:pPr>
    </w:p>
    <w:p w:rsidR="004F39DA" w:rsidRPr="00632A65" w:rsidRDefault="004F39DA" w:rsidP="003D76D9">
      <w:pPr>
        <w:rPr>
          <w:rFonts w:ascii="Arial" w:hAnsi="Arial" w:cs="Arial"/>
          <w:color w:val="000000"/>
          <w:sz w:val="22"/>
          <w:szCs w:val="22"/>
        </w:rPr>
      </w:pPr>
      <w:r w:rsidRPr="00632A65">
        <w:rPr>
          <w:rFonts w:ascii="Arial" w:hAnsi="Arial" w:cs="Arial"/>
          <w:color w:val="000000"/>
          <w:sz w:val="22"/>
          <w:szCs w:val="22"/>
        </w:rPr>
        <w:t>Il saldo di cassa assicura il rispetto del comma dell’art.</w:t>
      </w:r>
      <w:r>
        <w:rPr>
          <w:rFonts w:ascii="Arial" w:hAnsi="Arial" w:cs="Arial"/>
          <w:color w:val="000000"/>
          <w:sz w:val="22"/>
          <w:szCs w:val="22"/>
        </w:rPr>
        <w:t xml:space="preserve"> </w:t>
      </w:r>
      <w:r w:rsidRPr="00632A65">
        <w:rPr>
          <w:rFonts w:ascii="Arial" w:hAnsi="Arial" w:cs="Arial"/>
          <w:color w:val="000000"/>
          <w:sz w:val="22"/>
          <w:szCs w:val="22"/>
        </w:rPr>
        <w:t>162</w:t>
      </w:r>
      <w:r>
        <w:rPr>
          <w:rFonts w:ascii="Arial" w:hAnsi="Arial" w:cs="Arial"/>
          <w:color w:val="000000"/>
          <w:sz w:val="22"/>
          <w:szCs w:val="22"/>
        </w:rPr>
        <w:t xml:space="preserve">, comma 6, </w:t>
      </w:r>
      <w:r w:rsidRPr="00632A65">
        <w:rPr>
          <w:rFonts w:ascii="Arial" w:hAnsi="Arial" w:cs="Arial"/>
          <w:color w:val="000000"/>
          <w:sz w:val="22"/>
          <w:szCs w:val="22"/>
        </w:rPr>
        <w:t xml:space="preserve">del </w:t>
      </w:r>
      <w:r>
        <w:rPr>
          <w:rFonts w:ascii="Arial" w:hAnsi="Arial" w:cs="Arial"/>
          <w:color w:val="000000"/>
          <w:sz w:val="22"/>
          <w:szCs w:val="22"/>
        </w:rPr>
        <w:t>TUEL</w:t>
      </w:r>
      <w:r w:rsidRPr="00632A65">
        <w:rPr>
          <w:rFonts w:ascii="Arial" w:hAnsi="Arial" w:cs="Arial"/>
          <w:color w:val="000000"/>
          <w:sz w:val="22"/>
          <w:szCs w:val="22"/>
        </w:rPr>
        <w:t>;</w:t>
      </w:r>
    </w:p>
    <w:p w:rsidR="004F39DA" w:rsidRPr="00632A65"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r w:rsidRPr="00632A65">
        <w:rPr>
          <w:rFonts w:ascii="Arial" w:hAnsi="Arial" w:cs="Arial"/>
          <w:color w:val="000000"/>
          <w:sz w:val="22"/>
          <w:szCs w:val="22"/>
        </w:rPr>
        <w:t xml:space="preserve">Il fondo iniziale di cassa comprende la cassa vincolata per euro </w:t>
      </w:r>
      <w:r>
        <w:rPr>
          <w:rFonts w:ascii="Arial" w:hAnsi="Arial" w:cs="Arial"/>
          <w:color w:val="000000"/>
          <w:sz w:val="22"/>
          <w:szCs w:val="22"/>
        </w:rPr>
        <w:t>550.152,27.</w:t>
      </w: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Default="004F39DA" w:rsidP="003D76D9">
      <w:pPr>
        <w:jc w:val="both"/>
        <w:rPr>
          <w:rFonts w:ascii="Arial" w:hAnsi="Arial" w:cs="Arial"/>
          <w:color w:val="000000"/>
          <w:sz w:val="22"/>
          <w:szCs w:val="22"/>
        </w:rPr>
      </w:pPr>
    </w:p>
    <w:p w:rsidR="004F39DA" w:rsidRPr="00632A65" w:rsidRDefault="004F39DA" w:rsidP="003D76D9">
      <w:pPr>
        <w:jc w:val="both"/>
        <w:rPr>
          <w:rFonts w:ascii="Arial" w:hAnsi="Arial" w:cs="Arial"/>
          <w:color w:val="000000"/>
          <w:sz w:val="22"/>
          <w:szCs w:val="22"/>
        </w:rPr>
      </w:pPr>
    </w:p>
    <w:p w:rsidR="004F39DA" w:rsidRPr="00632A65" w:rsidRDefault="004F39DA" w:rsidP="003D76D9">
      <w:pPr>
        <w:jc w:val="both"/>
        <w:rPr>
          <w:rFonts w:ascii="Arial" w:hAnsi="Arial" w:cs="Arial"/>
          <w:color w:val="000000"/>
          <w:sz w:val="22"/>
          <w:szCs w:val="22"/>
        </w:rPr>
      </w:pPr>
    </w:p>
    <w:p w:rsidR="004F39DA" w:rsidRPr="00632A65" w:rsidRDefault="004F39DA" w:rsidP="003D76D9">
      <w:pPr>
        <w:rPr>
          <w:rFonts w:ascii="Arial" w:hAnsi="Arial" w:cs="Arial"/>
          <w:color w:val="000000"/>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La differenza fra residui + previsione di competenza e previsione di cassa è dimostrata nel seguente prospetto:</w:t>
      </w: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r w:rsidRPr="00632A65">
        <w:rPr>
          <w:rFonts w:ascii="Arial" w:hAnsi="Arial" w:cs="Arial"/>
          <w:sz w:val="22"/>
          <w:szCs w:val="22"/>
        </w:rPr>
        <w:object w:dxaOrig="9975" w:dyaOrig="6660">
          <v:shape id="_x0000_i1029" type="#_x0000_t75" style="width:474pt;height:316.5pt" o:ole="">
            <v:imagedata r:id="rId19" o:title=""/>
          </v:shape>
          <o:OLEObject Type="Embed" ProgID="Excel.Sheet.8" ShapeID="_x0000_i1029" DrawAspect="Content" ObjectID="_1547456131" r:id="rId20"/>
        </w:object>
      </w: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b/>
          <w:u w:val="single"/>
        </w:rPr>
      </w:pPr>
      <w:r w:rsidRPr="00632A65">
        <w:rPr>
          <w:rFonts w:ascii="Arial" w:hAnsi="Arial" w:cs="Arial"/>
        </w:rPr>
        <w:br w:type="page"/>
      </w:r>
    </w:p>
    <w:p w:rsidR="004F39DA" w:rsidRPr="00632A65" w:rsidRDefault="004F39DA" w:rsidP="003D76D9">
      <w:pPr>
        <w:pStyle w:val="Heading2"/>
      </w:pPr>
      <w:bookmarkStart w:id="17" w:name="_Toc314835182"/>
      <w:r w:rsidRPr="00632A65">
        <w:t>3. Verifica equilibrio corrente, in conto capitale e finale anno 2016</w:t>
      </w:r>
      <w:bookmarkEnd w:id="16"/>
      <w:r w:rsidRPr="00632A65">
        <w:t>-2018</w:t>
      </w:r>
      <w:bookmarkEnd w:id="17"/>
    </w:p>
    <w:p w:rsidR="004F39DA" w:rsidRPr="00632A65" w:rsidRDefault="004F39DA" w:rsidP="003D76D9">
      <w:pPr>
        <w:rPr>
          <w:rFonts w:ascii="Arial" w:hAnsi="Arial" w:cs="Arial"/>
        </w:rPr>
      </w:pPr>
    </w:p>
    <w:p w:rsidR="004F39DA" w:rsidRPr="00632A65" w:rsidRDefault="004F39DA" w:rsidP="003D76D9">
      <w:pPr>
        <w:rPr>
          <w:rFonts w:ascii="Arial" w:hAnsi="Arial" w:cs="Arial"/>
          <w:sz w:val="22"/>
          <w:szCs w:val="22"/>
        </w:rPr>
      </w:pPr>
      <w:r w:rsidRPr="00632A65">
        <w:rPr>
          <w:rFonts w:ascii="Arial" w:hAnsi="Arial" w:cs="Arial"/>
          <w:sz w:val="22"/>
          <w:szCs w:val="22"/>
        </w:rPr>
        <w:t xml:space="preserve">Gli equilibri richiesti dal comma 6 dell’art.162 del </w:t>
      </w:r>
      <w:r>
        <w:rPr>
          <w:rFonts w:ascii="Arial" w:hAnsi="Arial" w:cs="Arial"/>
          <w:sz w:val="22"/>
          <w:szCs w:val="22"/>
        </w:rPr>
        <w:t>TUEL</w:t>
      </w:r>
      <w:r w:rsidRPr="00632A65">
        <w:rPr>
          <w:rFonts w:ascii="Arial" w:hAnsi="Arial" w:cs="Arial"/>
          <w:sz w:val="22"/>
          <w:szCs w:val="22"/>
        </w:rPr>
        <w:t xml:space="preserve"> sono così assicurati:</w:t>
      </w:r>
    </w:p>
    <w:p w:rsidR="004F39DA" w:rsidRPr="00632A65" w:rsidRDefault="004F39DA" w:rsidP="003D76D9">
      <w:pPr>
        <w:rPr>
          <w:rFonts w:ascii="Arial" w:hAnsi="Arial" w:cs="Arial"/>
        </w:rPr>
      </w:pPr>
    </w:p>
    <w:p w:rsidR="004F39DA" w:rsidRPr="00632A65" w:rsidRDefault="004F39DA" w:rsidP="003D76D9">
      <w:pPr>
        <w:rPr>
          <w:rFonts w:ascii="Arial" w:hAnsi="Arial" w:cs="Arial"/>
        </w:rPr>
      </w:pPr>
      <w:r w:rsidRPr="00632A65">
        <w:rPr>
          <w:rFonts w:ascii="Arial" w:hAnsi="Arial" w:cs="Arial"/>
        </w:rPr>
        <w:object w:dxaOrig="9270" w:dyaOrig="10845">
          <v:shape id="_x0000_i1030" type="#_x0000_t75" style="width:444.75pt;height:542.25pt" o:ole="">
            <v:imagedata r:id="rId21" o:title=""/>
          </v:shape>
          <o:OLEObject Type="Embed" ProgID="Excel.Sheet.8" ShapeID="_x0000_i1030" DrawAspect="Content" ObjectID="_1547456132" r:id="rId22"/>
        </w:object>
      </w:r>
    </w:p>
    <w:p w:rsidR="004F39DA" w:rsidRPr="00632A65" w:rsidRDefault="004F39DA" w:rsidP="003D76D9">
      <w:pPr>
        <w:rPr>
          <w:rFonts w:ascii="Arial" w:hAnsi="Arial" w:cs="Arial"/>
          <w:sz w:val="22"/>
          <w:szCs w:val="22"/>
        </w:rPr>
      </w:pPr>
      <w:r w:rsidRPr="00632A65">
        <w:rPr>
          <w:rFonts w:ascii="Arial" w:hAnsi="Arial" w:cs="Arial"/>
          <w:sz w:val="22"/>
          <w:szCs w:val="22"/>
        </w:rPr>
        <w:br w:type="page"/>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L’importo di euro </w:t>
      </w:r>
      <w:r>
        <w:rPr>
          <w:rFonts w:ascii="Arial" w:hAnsi="Arial" w:cs="Arial"/>
          <w:sz w:val="22"/>
          <w:szCs w:val="22"/>
        </w:rPr>
        <w:t xml:space="preserve">140.091,01 </w:t>
      </w:r>
      <w:r w:rsidRPr="00632A65">
        <w:rPr>
          <w:rFonts w:ascii="Arial" w:hAnsi="Arial" w:cs="Arial"/>
          <w:sz w:val="22"/>
          <w:szCs w:val="22"/>
        </w:rPr>
        <w:t>di entrate di parte corrente destinate a spese di investimento sono costituite da</w:t>
      </w:r>
      <w:r>
        <w:rPr>
          <w:rFonts w:ascii="Arial" w:hAnsi="Arial" w:cs="Arial"/>
          <w:sz w:val="22"/>
          <w:szCs w:val="22"/>
        </w:rPr>
        <w:t xml:space="preserve"> eccedenze correlate al Fondo Unico Regionale</w:t>
      </w:r>
      <w:r w:rsidRPr="00632A65">
        <w:rPr>
          <w:rFonts w:ascii="Arial" w:hAnsi="Arial" w:cs="Arial"/>
          <w:sz w:val="22"/>
          <w:szCs w:val="22"/>
        </w:rPr>
        <w:t xml:space="preserve">. </w:t>
      </w: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b/>
        </w:rPr>
      </w:pPr>
      <w:r w:rsidRPr="00632A65">
        <w:rPr>
          <w:rFonts w:ascii="Arial" w:hAnsi="Arial" w:cs="Arial"/>
          <w:sz w:val="22"/>
          <w:szCs w:val="22"/>
        </w:rPr>
        <w:t>L’avanzo di parte corrente</w:t>
      </w:r>
      <w:r>
        <w:rPr>
          <w:rFonts w:ascii="Arial" w:hAnsi="Arial" w:cs="Arial"/>
          <w:sz w:val="22"/>
          <w:szCs w:val="22"/>
        </w:rPr>
        <w:t xml:space="preserve"> a destinazione vincolata, pari a € 66.058,92, è destinato per le finalità che lo hanno originato (assistenza e beneficienza), mentre € 694,16, derivanti da trasferimenti ISTAT non impegnati al 31/12/2015, vengono utilizzati per la copertura del debito fuori bilancio per i rilevatori interessati. </w:t>
      </w:r>
      <w:r w:rsidRPr="00632A65">
        <w:rPr>
          <w:rFonts w:ascii="Arial" w:hAnsi="Arial" w:cs="Arial"/>
          <w:b/>
        </w:rPr>
        <w:t xml:space="preserve"> </w:t>
      </w:r>
    </w:p>
    <w:p w:rsidR="004F39DA" w:rsidRPr="00632A65" w:rsidRDefault="004F39DA" w:rsidP="003D76D9">
      <w:pPr>
        <w:rPr>
          <w:rFonts w:ascii="Arial" w:hAnsi="Arial" w:cs="Arial"/>
          <w:b/>
        </w:rPr>
      </w:pPr>
      <w:r w:rsidRPr="00632A65">
        <w:rPr>
          <w:rFonts w:ascii="Arial" w:hAnsi="Arial" w:cs="Arial"/>
          <w:b/>
        </w:rPr>
        <w:br w:type="page"/>
      </w:r>
    </w:p>
    <w:p w:rsidR="004F39DA" w:rsidRPr="00632A65" w:rsidRDefault="004F39DA" w:rsidP="003D76D9">
      <w:pPr>
        <w:rPr>
          <w:rFonts w:ascii="Arial" w:hAnsi="Arial" w:cs="Arial"/>
          <w:b/>
        </w:rPr>
      </w:pPr>
      <w:r w:rsidRPr="00632A65">
        <w:rPr>
          <w:rFonts w:ascii="Arial" w:hAnsi="Arial" w:cs="Arial"/>
          <w:b/>
        </w:rPr>
        <w:object w:dxaOrig="9946" w:dyaOrig="10460">
          <v:shape id="_x0000_i1031" type="#_x0000_t75" style="width:487.5pt;height:522.75pt" o:ole="">
            <v:imagedata r:id="rId23" o:title=""/>
          </v:shape>
          <o:OLEObject Type="Embed" ProgID="Excel.Sheet.8" ShapeID="_x0000_i1031" DrawAspect="Content" ObjectID="_1547456133" r:id="rId24"/>
        </w:object>
      </w:r>
    </w:p>
    <w:p w:rsidR="004F39DA" w:rsidRPr="00632A65" w:rsidRDefault="004F39DA" w:rsidP="003D76D9">
      <w:pPr>
        <w:spacing w:before="120"/>
        <w:rPr>
          <w:rFonts w:ascii="Arial" w:hAnsi="Arial" w:cs="Arial"/>
          <w:b/>
          <w:i/>
          <w:color w:val="365F91"/>
          <w:sz w:val="18"/>
        </w:rPr>
      </w:pPr>
    </w:p>
    <w:p w:rsidR="004F39DA" w:rsidRPr="00632A65" w:rsidRDefault="004F39DA" w:rsidP="003D76D9">
      <w:pPr>
        <w:spacing w:before="120"/>
        <w:rPr>
          <w:rFonts w:ascii="Arial" w:hAnsi="Arial" w:cs="Arial"/>
          <w:b/>
          <w:color w:val="365F91"/>
          <w:sz w:val="18"/>
        </w:rPr>
      </w:pPr>
    </w:p>
    <w:p w:rsidR="004F39DA" w:rsidRPr="00632A65" w:rsidRDefault="004F39DA" w:rsidP="003D76D9">
      <w:pPr>
        <w:spacing w:before="120"/>
        <w:rPr>
          <w:rFonts w:ascii="Arial" w:hAnsi="Arial" w:cs="Arial"/>
          <w:b/>
          <w:color w:val="365F91"/>
          <w:sz w:val="18"/>
        </w:rPr>
      </w:pPr>
    </w:p>
    <w:p w:rsidR="004F39DA" w:rsidRPr="00632A65" w:rsidRDefault="004F39DA" w:rsidP="003D76D9">
      <w:pPr>
        <w:spacing w:before="120"/>
        <w:rPr>
          <w:rFonts w:ascii="Arial" w:hAnsi="Arial" w:cs="Arial"/>
          <w:b/>
          <w:color w:val="365F91"/>
          <w:sz w:val="18"/>
        </w:rPr>
      </w:pPr>
    </w:p>
    <w:p w:rsidR="004F39DA" w:rsidRPr="00632A65" w:rsidRDefault="004F39DA" w:rsidP="003D76D9">
      <w:pPr>
        <w:spacing w:before="120"/>
        <w:rPr>
          <w:rFonts w:ascii="Arial" w:hAnsi="Arial" w:cs="Arial"/>
          <w:b/>
          <w:u w:val="single"/>
        </w:rPr>
      </w:pPr>
      <w:r>
        <w:rPr>
          <w:rFonts w:ascii="Arial" w:hAnsi="Arial" w:cs="Arial"/>
          <w:b/>
          <w:u w:val="single"/>
        </w:rPr>
        <w:br w:type="page"/>
      </w:r>
    </w:p>
    <w:p w:rsidR="004F39DA" w:rsidRPr="00632A65" w:rsidRDefault="004F39DA" w:rsidP="003D76D9">
      <w:pPr>
        <w:pStyle w:val="Heading2"/>
      </w:pPr>
      <w:bookmarkStart w:id="18" w:name="_Toc346838823"/>
      <w:bookmarkStart w:id="19" w:name="_Toc314835184"/>
      <w:r>
        <w:t>4</w:t>
      </w:r>
      <w:r w:rsidRPr="00632A65">
        <w:t>. Finanziamento della spesa del titolo II</w:t>
      </w:r>
      <w:bookmarkEnd w:id="18"/>
      <w:bookmarkEnd w:id="19"/>
    </w:p>
    <w:p w:rsidR="004F39DA" w:rsidRPr="00632A65" w:rsidRDefault="004F39DA" w:rsidP="003D76D9">
      <w:pPr>
        <w:rPr>
          <w:rFonts w:ascii="Arial" w:hAnsi="Arial" w:cs="Arial"/>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Il titolo II della spesa, al netto del fondo pluriennale vincolato, è finanziato con la seguente previsione di risorse distinta in mezzi propri e mezzi di terzi:</w:t>
      </w:r>
    </w:p>
    <w:p w:rsidR="004F39DA" w:rsidRPr="00632A65" w:rsidRDefault="004F39DA" w:rsidP="003D76D9">
      <w:pPr>
        <w:jc w:val="both"/>
        <w:rPr>
          <w:rFonts w:ascii="Arial" w:hAnsi="Arial" w:cs="Arial"/>
          <w:sz w:val="22"/>
          <w:szCs w:val="22"/>
        </w:rPr>
      </w:pPr>
    </w:p>
    <w:p w:rsidR="004F39DA" w:rsidRPr="00632A65" w:rsidRDefault="004F39DA" w:rsidP="00020951">
      <w:pPr>
        <w:jc w:val="center"/>
        <w:rPr>
          <w:rFonts w:ascii="Arial" w:hAnsi="Arial" w:cs="Arial"/>
          <w:sz w:val="22"/>
          <w:szCs w:val="22"/>
        </w:rPr>
      </w:pPr>
      <w:r w:rsidRPr="00632A65">
        <w:rPr>
          <w:rFonts w:ascii="Arial" w:hAnsi="Arial" w:cs="Arial"/>
          <w:sz w:val="22"/>
          <w:szCs w:val="22"/>
        </w:rPr>
        <w:object w:dxaOrig="8325" w:dyaOrig="5100">
          <v:shape id="_x0000_i1032" type="#_x0000_t75" style="width:416.25pt;height:255pt" o:ole="">
            <v:imagedata r:id="rId25" o:title=""/>
          </v:shape>
          <o:OLEObject Type="Embed" ProgID="Excel.Sheet.12" ShapeID="_x0000_i1032" DrawAspect="Content" ObjectID="_1547456134" r:id="rId26"/>
        </w:object>
      </w:r>
    </w:p>
    <w:p w:rsidR="004F39DA" w:rsidRPr="00632A65" w:rsidRDefault="004F39DA" w:rsidP="003D76D9">
      <w:pPr>
        <w:jc w:val="both"/>
        <w:rPr>
          <w:rFonts w:ascii="Arial" w:hAnsi="Arial" w:cs="Arial"/>
          <w:sz w:val="22"/>
          <w:szCs w:val="22"/>
        </w:rPr>
      </w:pPr>
    </w:p>
    <w:p w:rsidR="004F39DA" w:rsidRPr="00632A65" w:rsidRDefault="004F39DA" w:rsidP="003D76D9">
      <w:pPr>
        <w:spacing w:before="120"/>
        <w:rPr>
          <w:rFonts w:ascii="Arial" w:hAnsi="Arial" w:cs="Arial"/>
          <w:b/>
          <w:u w:val="single"/>
        </w:rPr>
      </w:pPr>
    </w:p>
    <w:p w:rsidR="004F39DA" w:rsidRPr="00632A65" w:rsidRDefault="004F39DA" w:rsidP="003D76D9">
      <w:pPr>
        <w:pStyle w:val="Heading2"/>
      </w:pPr>
      <w:bookmarkStart w:id="20" w:name="_Toc314835185"/>
      <w:r>
        <w:t>5</w:t>
      </w:r>
      <w:r w:rsidRPr="00632A65">
        <w:t>. La nota integrativa</w:t>
      </w:r>
      <w:bookmarkEnd w:id="20"/>
    </w:p>
    <w:p w:rsidR="004F39DA" w:rsidRPr="00632A65" w:rsidRDefault="004F39DA" w:rsidP="003D76D9">
      <w:pPr>
        <w:pStyle w:val="provvr0"/>
        <w:rPr>
          <w:rFonts w:ascii="Arial" w:hAnsi="Arial" w:cs="Arial"/>
        </w:rPr>
      </w:pPr>
      <w:r w:rsidRPr="00632A65">
        <w:rPr>
          <w:rFonts w:ascii="Arial" w:hAnsi="Arial" w:cs="Arial"/>
        </w:rPr>
        <w:t>La nota integrativa allegata al bilancio di previsione indica come dispos</w:t>
      </w:r>
      <w:r>
        <w:rPr>
          <w:rFonts w:ascii="Arial" w:hAnsi="Arial" w:cs="Arial"/>
        </w:rPr>
        <w:t>to dal comma 5 dell’art.11 del D</w:t>
      </w:r>
      <w:r w:rsidRPr="00632A65">
        <w:rPr>
          <w:rFonts w:ascii="Arial" w:hAnsi="Arial" w:cs="Arial"/>
        </w:rPr>
        <w:t>.</w:t>
      </w:r>
      <w:r>
        <w:rPr>
          <w:rFonts w:ascii="Arial" w:hAnsi="Arial" w:cs="Arial"/>
        </w:rPr>
        <w:t>L</w:t>
      </w:r>
      <w:r w:rsidRPr="00632A65">
        <w:rPr>
          <w:rFonts w:ascii="Arial" w:hAnsi="Arial" w:cs="Arial"/>
        </w:rPr>
        <w:t>gs.</w:t>
      </w:r>
      <w:r>
        <w:rPr>
          <w:rFonts w:ascii="Arial" w:hAnsi="Arial" w:cs="Arial"/>
        </w:rPr>
        <w:t xml:space="preserve"> </w:t>
      </w:r>
      <w:r w:rsidRPr="00632A65">
        <w:rPr>
          <w:rFonts w:ascii="Arial" w:hAnsi="Arial" w:cs="Arial"/>
        </w:rPr>
        <w:t>23/6/2011 n.118 tutte le seguenti informazioni:</w:t>
      </w:r>
    </w:p>
    <w:p w:rsidR="004F39DA" w:rsidRPr="00632A65" w:rsidRDefault="004F39DA" w:rsidP="006B376A">
      <w:pPr>
        <w:ind w:left="284" w:hanging="284"/>
        <w:jc w:val="both"/>
        <w:rPr>
          <w:rFonts w:ascii="Arial" w:hAnsi="Arial" w:cs="Arial"/>
        </w:rPr>
      </w:pPr>
      <w:r w:rsidRPr="00632A65">
        <w:rPr>
          <w:rFonts w:ascii="Arial" w:hAnsi="Arial" w:cs="Arial"/>
        </w:rPr>
        <w:t xml:space="preserve">a) i criteri di valutazione adottati per la formulazione delle previsioni, con particolare riferimento agli stanziamenti riguardanti </w:t>
      </w:r>
      <w:r>
        <w:rPr>
          <w:rFonts w:ascii="Arial" w:hAnsi="Arial" w:cs="Arial"/>
        </w:rPr>
        <w:t xml:space="preserve">il </w:t>
      </w:r>
      <w:r w:rsidRPr="00632A65">
        <w:rPr>
          <w:rFonts w:ascii="Arial" w:hAnsi="Arial" w:cs="Arial"/>
        </w:rPr>
        <w:t>fond</w:t>
      </w:r>
      <w:r>
        <w:rPr>
          <w:rFonts w:ascii="Arial" w:hAnsi="Arial" w:cs="Arial"/>
        </w:rPr>
        <w:t>o crediti di dubbia esigibilità</w:t>
      </w:r>
      <w:r w:rsidRPr="00632A65">
        <w:rPr>
          <w:rFonts w:ascii="Arial" w:hAnsi="Arial" w:cs="Arial"/>
        </w:rPr>
        <w:t xml:space="preserve">; </w:t>
      </w:r>
    </w:p>
    <w:p w:rsidR="004F39DA" w:rsidRPr="00632A65" w:rsidRDefault="004F39DA" w:rsidP="006B376A">
      <w:pPr>
        <w:ind w:left="284" w:hanging="284"/>
        <w:jc w:val="both"/>
        <w:rPr>
          <w:rFonts w:ascii="Arial" w:hAnsi="Arial" w:cs="Arial"/>
        </w:rPr>
      </w:pPr>
      <w:r w:rsidRPr="00632A65">
        <w:rPr>
          <w:rFonts w:ascii="Arial" w:hAnsi="Arial" w:cs="Arial"/>
        </w:rPr>
        <w:t xml:space="preserve">b) l'elenco delle quote vincolate e accantonate del risultato di amministrazione presunto al 31 dicembre dell'esercizio precedente, distinguendo i vincoli derivanti dalla </w:t>
      </w:r>
      <w:r>
        <w:rPr>
          <w:rFonts w:ascii="Arial" w:hAnsi="Arial" w:cs="Arial"/>
        </w:rPr>
        <w:t>legge</w:t>
      </w:r>
      <w:r w:rsidRPr="00632A65">
        <w:rPr>
          <w:rFonts w:ascii="Arial" w:hAnsi="Arial" w:cs="Arial"/>
        </w:rPr>
        <w:t xml:space="preserve">e dai principi contabili, dai trasferimenti, da mutui e altri finanziamenti, vincoli formalmente attribuiti dall'ente; </w:t>
      </w:r>
    </w:p>
    <w:p w:rsidR="004F39DA" w:rsidRPr="00632A65" w:rsidRDefault="004F39DA" w:rsidP="006B376A">
      <w:pPr>
        <w:ind w:left="284" w:hanging="284"/>
        <w:jc w:val="both"/>
        <w:rPr>
          <w:rFonts w:ascii="Arial" w:hAnsi="Arial" w:cs="Arial"/>
        </w:rPr>
      </w:pPr>
      <w:r w:rsidRPr="00632A65">
        <w:rPr>
          <w:rFonts w:ascii="Arial" w:hAnsi="Arial" w:cs="Arial"/>
        </w:rPr>
        <w:t xml:space="preserve">c) l'elenco analitico degli utilizzi delle quote vincolate e accantonate del risultato di amministrazione presunto, distinguendo i vincoli derivanti dalla </w:t>
      </w:r>
      <w:r>
        <w:rPr>
          <w:rFonts w:ascii="Arial" w:hAnsi="Arial" w:cs="Arial"/>
        </w:rPr>
        <w:t>legge</w:t>
      </w:r>
      <w:r w:rsidRPr="00632A65">
        <w:rPr>
          <w:rFonts w:ascii="Arial" w:hAnsi="Arial" w:cs="Arial"/>
        </w:rPr>
        <w:t xml:space="preserve">e dai principi contabili, dai trasferimenti, da mutui e altri finanziamenti, vincoli formalmente attribuiti dall'ente; </w:t>
      </w:r>
    </w:p>
    <w:p w:rsidR="004F39DA" w:rsidRPr="00632A65" w:rsidRDefault="004F39DA" w:rsidP="006B376A">
      <w:pPr>
        <w:ind w:left="284" w:hanging="284"/>
        <w:jc w:val="both"/>
        <w:rPr>
          <w:rFonts w:ascii="Arial" w:hAnsi="Arial" w:cs="Arial"/>
        </w:rPr>
      </w:pPr>
      <w:r w:rsidRPr="00632A65">
        <w:rPr>
          <w:rFonts w:ascii="Arial" w:hAnsi="Arial" w:cs="Arial"/>
        </w:rPr>
        <w:t xml:space="preserve">d) l'elenco degli interventi programmati per spese di investimento finanziati con le risorse disponibili; </w:t>
      </w:r>
    </w:p>
    <w:p w:rsidR="004F39DA" w:rsidRPr="00632A65" w:rsidRDefault="004F39DA" w:rsidP="006B376A">
      <w:pPr>
        <w:ind w:left="284" w:hanging="284"/>
        <w:jc w:val="both"/>
        <w:rPr>
          <w:rFonts w:ascii="Arial" w:hAnsi="Arial" w:cs="Arial"/>
        </w:rPr>
      </w:pPr>
      <w:r w:rsidRPr="00632A65">
        <w:rPr>
          <w:rFonts w:ascii="Arial" w:hAnsi="Arial" w:cs="Arial"/>
        </w:rPr>
        <w:t>e)</w:t>
      </w:r>
      <w:r>
        <w:rPr>
          <w:rFonts w:ascii="Arial" w:hAnsi="Arial" w:cs="Arial"/>
        </w:rPr>
        <w:t xml:space="preserve"> </w:t>
      </w:r>
      <w:r w:rsidRPr="00632A65">
        <w:rPr>
          <w:rFonts w:ascii="Arial" w:hAnsi="Arial" w:cs="Arial"/>
        </w:rPr>
        <w:t>l'elenco delle partecipazioni possedute con l'indicazione d</w:t>
      </w:r>
      <w:r>
        <w:rPr>
          <w:rFonts w:ascii="Arial" w:hAnsi="Arial" w:cs="Arial"/>
        </w:rPr>
        <w:t>ella relativa quota percentuale.</w:t>
      </w:r>
      <w:r w:rsidRPr="00632A65">
        <w:rPr>
          <w:rFonts w:ascii="Arial" w:hAnsi="Arial" w:cs="Arial"/>
        </w:rPr>
        <w:t xml:space="preserve"> </w:t>
      </w:r>
    </w:p>
    <w:p w:rsidR="004F39DA" w:rsidRPr="006B376A" w:rsidRDefault="004F39DA" w:rsidP="00436552">
      <w:pPr>
        <w:ind w:left="284" w:hanging="284"/>
        <w:jc w:val="both"/>
        <w:rPr>
          <w:rFonts w:ascii="Arial" w:hAnsi="Arial" w:cs="Arial"/>
          <w:i/>
          <w:sz w:val="20"/>
        </w:rPr>
      </w:pPr>
    </w:p>
    <w:p w:rsidR="004F39DA" w:rsidRPr="00632A65" w:rsidRDefault="004F39DA" w:rsidP="003D76D9">
      <w:pPr>
        <w:jc w:val="both"/>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rPr>
          <w:rFonts w:ascii="Arial" w:hAnsi="Arial" w:cs="Arial"/>
          <w:sz w:val="20"/>
        </w:rPr>
      </w:pPr>
    </w:p>
    <w:p w:rsidR="004F39DA" w:rsidRPr="00632A65" w:rsidRDefault="004F39DA" w:rsidP="003D76D9">
      <w:pPr>
        <w:pStyle w:val="Heading1"/>
        <w:shd w:val="clear" w:color="auto" w:fill="B6DDE8"/>
      </w:pPr>
      <w:bookmarkStart w:id="21" w:name="_VERIFICA_COERENZA_DELLE"/>
      <w:bookmarkStart w:id="22" w:name="_Toc346838827"/>
      <w:bookmarkStart w:id="23" w:name="_Toc314835186"/>
      <w:bookmarkEnd w:id="21"/>
      <w:r w:rsidRPr="00632A65">
        <w:t>VERIFICA COERENZA DELLE PREVISIONI</w:t>
      </w:r>
      <w:bookmarkEnd w:id="22"/>
      <w:bookmarkEnd w:id="23"/>
    </w:p>
    <w:p w:rsidR="004F39DA" w:rsidRPr="00632A65" w:rsidRDefault="004F39DA" w:rsidP="003D76D9">
      <w:pPr>
        <w:spacing w:after="60"/>
        <w:rPr>
          <w:rFonts w:ascii="Arial" w:hAnsi="Arial" w:cs="Arial"/>
          <w:i/>
          <w:sz w:val="20"/>
        </w:rPr>
      </w:pPr>
    </w:p>
    <w:p w:rsidR="004F39DA" w:rsidRPr="00632A65" w:rsidRDefault="004F39DA" w:rsidP="003D76D9">
      <w:pPr>
        <w:pStyle w:val="Heading2"/>
      </w:pPr>
      <w:bookmarkStart w:id="24" w:name="_Toc346838828"/>
      <w:bookmarkStart w:id="25" w:name="_Toc314835187"/>
      <w:r w:rsidRPr="00632A65">
        <w:t>7. Verifica della coerenza interna</w:t>
      </w:r>
      <w:bookmarkEnd w:id="24"/>
      <w:bookmarkEnd w:id="25"/>
    </w:p>
    <w:p w:rsidR="004F39DA" w:rsidRPr="00632A65" w:rsidRDefault="004F39DA" w:rsidP="003D76D9">
      <w:pPr>
        <w:spacing w:after="60"/>
        <w:rPr>
          <w:rFonts w:ascii="Arial" w:hAnsi="Arial" w:cs="Arial"/>
          <w:b/>
          <w:sz w:val="22"/>
          <w:szCs w:val="22"/>
          <w:u w:val="single"/>
        </w:rPr>
      </w:pPr>
    </w:p>
    <w:p w:rsidR="004F39DA" w:rsidRPr="00632A65" w:rsidRDefault="004F39DA" w:rsidP="003D76D9">
      <w:pPr>
        <w:spacing w:after="60"/>
        <w:jc w:val="both"/>
        <w:rPr>
          <w:rFonts w:ascii="Arial" w:hAnsi="Arial" w:cs="Arial"/>
          <w:sz w:val="22"/>
          <w:szCs w:val="22"/>
        </w:rPr>
      </w:pPr>
      <w:r>
        <w:rPr>
          <w:rFonts w:ascii="Arial" w:hAnsi="Arial" w:cs="Arial"/>
          <w:sz w:val="22"/>
          <w:szCs w:val="22"/>
        </w:rPr>
        <w:t>Il Revisore dei Conti</w:t>
      </w:r>
      <w:r w:rsidRPr="00632A65">
        <w:rPr>
          <w:rFonts w:ascii="Arial" w:hAnsi="Arial" w:cs="Arial"/>
          <w:sz w:val="22"/>
          <w:szCs w:val="22"/>
        </w:rPr>
        <w:t xml:space="preserve"> ritiene che le previsioni per gli anni 2016-2018 siano coerenti con gli strumenti di programmazione di mandato, con il documento unico di programmazione e con gli atti di programmazione di settore (piano triennale dei lavori pubblici, programmazione fabbisogno del personale, piano alienazioni e valorizzazione patrimonio immobiliare ecc.)</w:t>
      </w:r>
    </w:p>
    <w:p w:rsidR="004F39DA" w:rsidRPr="00632A65" w:rsidRDefault="004F39DA" w:rsidP="003D76D9">
      <w:pPr>
        <w:spacing w:after="60"/>
        <w:jc w:val="both"/>
        <w:rPr>
          <w:rFonts w:ascii="Arial" w:hAnsi="Arial" w:cs="Arial"/>
          <w:sz w:val="22"/>
          <w:szCs w:val="22"/>
        </w:rPr>
      </w:pPr>
    </w:p>
    <w:p w:rsidR="004F39DA" w:rsidRPr="00632A65" w:rsidRDefault="004F39DA" w:rsidP="003D76D9">
      <w:pPr>
        <w:jc w:val="both"/>
        <w:rPr>
          <w:rFonts w:ascii="Arial" w:hAnsi="Arial" w:cs="Arial"/>
          <w:b/>
          <w:sz w:val="22"/>
          <w:szCs w:val="22"/>
          <w:u w:val="single"/>
        </w:rPr>
      </w:pPr>
      <w:r w:rsidRPr="00632A65">
        <w:rPr>
          <w:rFonts w:ascii="Arial" w:hAnsi="Arial" w:cs="Arial"/>
          <w:b/>
          <w:sz w:val="22"/>
          <w:szCs w:val="22"/>
          <w:u w:val="single"/>
        </w:rPr>
        <w:t>7.1. Verifica contenuto informativo ed illustrativo del documento unico di programmazione DUP</w:t>
      </w:r>
    </w:p>
    <w:p w:rsidR="004F39DA" w:rsidRPr="00632A65" w:rsidRDefault="004F39DA" w:rsidP="003D76D9">
      <w:pPr>
        <w:autoSpaceDE w:val="0"/>
        <w:autoSpaceDN w:val="0"/>
        <w:adjustRightInd w:val="0"/>
        <w:rPr>
          <w:rFonts w:ascii="Arial" w:hAnsi="Arial" w:cs="Arial"/>
          <w:b/>
          <w:bCs/>
          <w:sz w:val="22"/>
          <w:szCs w:val="22"/>
        </w:rPr>
      </w:pPr>
    </w:p>
    <w:p w:rsidR="004F39DA" w:rsidRPr="00632A65" w:rsidRDefault="004F39DA" w:rsidP="006B376A">
      <w:pPr>
        <w:jc w:val="both"/>
        <w:rPr>
          <w:rFonts w:ascii="Arial" w:hAnsi="Arial" w:cs="Arial"/>
          <w:sz w:val="22"/>
          <w:szCs w:val="22"/>
        </w:rPr>
      </w:pPr>
      <w:r w:rsidRPr="00632A65">
        <w:rPr>
          <w:rFonts w:ascii="Arial" w:hAnsi="Arial" w:cs="Arial"/>
          <w:sz w:val="22"/>
          <w:szCs w:val="22"/>
        </w:rPr>
        <w:t>Il Documento Unico di Programmazione (DUP), è stato predisposto dalla Giunta secondo lo schema dettato dal Principio contabile applicato alla programmazione (Allegato n. 4/1 al d.lgs. 118/2011).</w:t>
      </w:r>
    </w:p>
    <w:p w:rsidR="004F39DA" w:rsidRPr="00632A65" w:rsidRDefault="004F39DA" w:rsidP="006B376A">
      <w:pPr>
        <w:jc w:val="both"/>
        <w:rPr>
          <w:rFonts w:ascii="Arial" w:hAnsi="Arial" w:cs="Arial"/>
          <w:i/>
          <w:sz w:val="22"/>
          <w:szCs w:val="22"/>
        </w:rPr>
      </w:pPr>
      <w:r w:rsidRPr="00632A65">
        <w:rPr>
          <w:rFonts w:ascii="Arial" w:hAnsi="Arial" w:cs="Arial"/>
          <w:sz w:val="22"/>
          <w:szCs w:val="22"/>
        </w:rPr>
        <w:t xml:space="preserve">Sul Dup e relativa nota di aggiornamento </w:t>
      </w:r>
      <w:r>
        <w:rPr>
          <w:rFonts w:ascii="Arial" w:hAnsi="Arial" w:cs="Arial"/>
          <w:sz w:val="22"/>
          <w:szCs w:val="22"/>
        </w:rPr>
        <w:t>il Revisore dei Conti</w:t>
      </w:r>
      <w:r w:rsidRPr="00632A65">
        <w:rPr>
          <w:rFonts w:ascii="Arial" w:hAnsi="Arial" w:cs="Arial"/>
          <w:sz w:val="22"/>
          <w:szCs w:val="22"/>
        </w:rPr>
        <w:t xml:space="preserve"> ha espresso parere con verbali n</w:t>
      </w:r>
      <w:r>
        <w:rPr>
          <w:rFonts w:ascii="Arial" w:hAnsi="Arial" w:cs="Arial"/>
          <w:sz w:val="22"/>
          <w:szCs w:val="22"/>
        </w:rPr>
        <w:t xml:space="preserve">. </w:t>
      </w:r>
      <w:r w:rsidRPr="008A411F">
        <w:rPr>
          <w:rFonts w:ascii="Arial" w:hAnsi="Arial" w:cs="Arial"/>
          <w:sz w:val="22"/>
          <w:szCs w:val="22"/>
        </w:rPr>
        <w:t>24 del 28/12/2015</w:t>
      </w:r>
      <w:r>
        <w:rPr>
          <w:rFonts w:ascii="Arial" w:hAnsi="Arial" w:cs="Arial"/>
          <w:sz w:val="22"/>
          <w:szCs w:val="22"/>
        </w:rPr>
        <w:t xml:space="preserve"> </w:t>
      </w:r>
      <w:r w:rsidRPr="00632A65">
        <w:rPr>
          <w:rFonts w:ascii="Arial" w:hAnsi="Arial" w:cs="Arial"/>
          <w:sz w:val="22"/>
          <w:szCs w:val="22"/>
        </w:rPr>
        <w:t>e numero</w:t>
      </w:r>
      <w:r>
        <w:rPr>
          <w:rFonts w:ascii="Arial" w:hAnsi="Arial" w:cs="Arial"/>
          <w:sz w:val="22"/>
          <w:szCs w:val="22"/>
        </w:rPr>
        <w:t xml:space="preserve"> 32 </w:t>
      </w:r>
      <w:r w:rsidRPr="00632A65">
        <w:rPr>
          <w:rFonts w:ascii="Arial" w:hAnsi="Arial" w:cs="Arial"/>
          <w:sz w:val="22"/>
          <w:szCs w:val="22"/>
        </w:rPr>
        <w:t>del</w:t>
      </w:r>
      <w:r>
        <w:rPr>
          <w:rFonts w:ascii="Arial" w:hAnsi="Arial" w:cs="Arial"/>
          <w:sz w:val="22"/>
          <w:szCs w:val="22"/>
        </w:rPr>
        <w:t xml:space="preserve"> 22/04/2016 </w:t>
      </w:r>
      <w:r w:rsidRPr="00632A65">
        <w:rPr>
          <w:rFonts w:ascii="Arial" w:hAnsi="Arial" w:cs="Arial"/>
          <w:sz w:val="22"/>
          <w:szCs w:val="22"/>
        </w:rPr>
        <w:t>attestando la sua coerenza, attendibilità e congruità</w:t>
      </w:r>
      <w:r w:rsidRPr="00632A65">
        <w:rPr>
          <w:rFonts w:ascii="Arial" w:hAnsi="Arial" w:cs="Arial"/>
          <w:i/>
          <w:sz w:val="22"/>
          <w:szCs w:val="22"/>
        </w:rPr>
        <w:t>.</w:t>
      </w:r>
    </w:p>
    <w:p w:rsidR="004F39DA" w:rsidRPr="00632A65" w:rsidRDefault="004F39DA" w:rsidP="003D76D9">
      <w:pPr>
        <w:rPr>
          <w:rFonts w:ascii="Arial" w:hAnsi="Arial" w:cs="Arial"/>
          <w:sz w:val="22"/>
          <w:szCs w:val="22"/>
        </w:rPr>
      </w:pPr>
    </w:p>
    <w:p w:rsidR="004F39DA" w:rsidRPr="00632A65" w:rsidRDefault="004F39DA" w:rsidP="003D76D9">
      <w:pPr>
        <w:jc w:val="both"/>
        <w:rPr>
          <w:rFonts w:ascii="Arial" w:hAnsi="Arial" w:cs="Arial"/>
          <w:b/>
          <w:sz w:val="22"/>
          <w:szCs w:val="22"/>
          <w:u w:val="single"/>
        </w:rPr>
      </w:pPr>
      <w:r w:rsidRPr="00632A65">
        <w:rPr>
          <w:rFonts w:ascii="Arial" w:hAnsi="Arial" w:cs="Arial"/>
          <w:b/>
          <w:sz w:val="22"/>
          <w:szCs w:val="22"/>
          <w:u w:val="single"/>
        </w:rPr>
        <w:t>7.2. Verifica adozione strumenti obbligatori di programmazione di settore e loro coerenza con le previsioni</w:t>
      </w:r>
    </w:p>
    <w:p w:rsidR="004F39DA" w:rsidRPr="00632A65" w:rsidRDefault="004F39DA" w:rsidP="003D76D9">
      <w:pPr>
        <w:spacing w:after="60"/>
        <w:rPr>
          <w:rFonts w:ascii="Arial" w:hAnsi="Arial" w:cs="Arial"/>
          <w:b/>
          <w:sz w:val="22"/>
          <w:szCs w:val="22"/>
        </w:rPr>
      </w:pPr>
    </w:p>
    <w:p w:rsidR="004F39DA" w:rsidRPr="00632A65" w:rsidRDefault="004F39DA" w:rsidP="003D76D9">
      <w:pPr>
        <w:spacing w:after="60"/>
        <w:rPr>
          <w:rFonts w:ascii="Arial" w:hAnsi="Arial" w:cs="Arial"/>
          <w:b/>
          <w:sz w:val="22"/>
          <w:szCs w:val="22"/>
        </w:rPr>
      </w:pPr>
      <w:r w:rsidRPr="00632A65">
        <w:rPr>
          <w:rFonts w:ascii="Arial" w:hAnsi="Arial" w:cs="Arial"/>
          <w:b/>
          <w:sz w:val="22"/>
          <w:szCs w:val="22"/>
        </w:rPr>
        <w:t>7.2.1. programma triennale lavori pubblici</w:t>
      </w:r>
    </w:p>
    <w:p w:rsidR="004F39DA" w:rsidRPr="00FB2E14" w:rsidRDefault="004F39DA" w:rsidP="003D76D9">
      <w:pPr>
        <w:jc w:val="both"/>
        <w:rPr>
          <w:rFonts w:ascii="Arial" w:hAnsi="Arial" w:cs="Arial"/>
          <w:sz w:val="22"/>
          <w:szCs w:val="22"/>
        </w:rPr>
      </w:pPr>
      <w:r w:rsidRPr="00FB2E14">
        <w:rPr>
          <w:rFonts w:ascii="Arial" w:hAnsi="Arial" w:cs="Arial"/>
          <w:sz w:val="22"/>
          <w:szCs w:val="22"/>
        </w:rPr>
        <w:t>Il programma triennale ed elenco annuale dei lavori pubblici di cui all’art. 128 del D.Lgs. 163/2006, è stato redatto conformemente alle indicazioni e agli schemi di cui al DM 11/11/2011 del Ministero delle infrastrutture e dei trasporti, ed adottato dall’organo esecutivo con atto n. 76 del 30/12/2015.</w:t>
      </w:r>
    </w:p>
    <w:p w:rsidR="004F39DA" w:rsidRPr="00632A65" w:rsidRDefault="004F39DA" w:rsidP="003D76D9">
      <w:pPr>
        <w:jc w:val="both"/>
        <w:rPr>
          <w:rFonts w:ascii="Arial" w:hAnsi="Arial" w:cs="Arial"/>
          <w:sz w:val="22"/>
          <w:szCs w:val="22"/>
        </w:rPr>
      </w:pPr>
      <w:r w:rsidRPr="00FB2E14">
        <w:rPr>
          <w:rFonts w:ascii="Arial" w:hAnsi="Arial" w:cs="Arial"/>
          <w:sz w:val="22"/>
          <w:szCs w:val="22"/>
        </w:rPr>
        <w:t>Lo schema di programma è stato pubblicato in data 31/12/2016 e sino a tutto il 29/02/2016.</w:t>
      </w:r>
    </w:p>
    <w:p w:rsidR="004F39DA" w:rsidRPr="00632A65" w:rsidRDefault="004F39DA" w:rsidP="003D76D9">
      <w:pPr>
        <w:jc w:val="both"/>
        <w:rPr>
          <w:rFonts w:ascii="Arial" w:hAnsi="Arial" w:cs="Arial"/>
          <w:sz w:val="20"/>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Nello stesso sono indicati:</w:t>
      </w:r>
    </w:p>
    <w:p w:rsidR="004F39DA" w:rsidRPr="00632A65" w:rsidRDefault="004F39DA" w:rsidP="00E11CA8">
      <w:pPr>
        <w:numPr>
          <w:ilvl w:val="0"/>
          <w:numId w:val="4"/>
        </w:numPr>
        <w:spacing w:before="120"/>
        <w:ind w:left="357" w:hanging="357"/>
        <w:jc w:val="both"/>
        <w:rPr>
          <w:rFonts w:ascii="Arial" w:hAnsi="Arial" w:cs="Arial"/>
          <w:sz w:val="22"/>
          <w:szCs w:val="22"/>
        </w:rPr>
      </w:pPr>
      <w:r w:rsidRPr="00632A65">
        <w:rPr>
          <w:rFonts w:ascii="Arial" w:hAnsi="Arial" w:cs="Arial"/>
          <w:sz w:val="22"/>
          <w:szCs w:val="22"/>
        </w:rPr>
        <w:t>i lavori di singolo importo superiore a 100.000 euro;</w:t>
      </w:r>
    </w:p>
    <w:p w:rsidR="004F39DA" w:rsidRPr="00632A65" w:rsidRDefault="004F39DA" w:rsidP="00E11CA8">
      <w:pPr>
        <w:numPr>
          <w:ilvl w:val="0"/>
          <w:numId w:val="4"/>
        </w:numPr>
        <w:spacing w:before="120"/>
        <w:ind w:left="357" w:hanging="357"/>
        <w:jc w:val="both"/>
        <w:rPr>
          <w:rFonts w:ascii="Arial" w:hAnsi="Arial" w:cs="Arial"/>
          <w:sz w:val="22"/>
          <w:szCs w:val="22"/>
        </w:rPr>
      </w:pPr>
      <w:r w:rsidRPr="00632A65">
        <w:rPr>
          <w:rFonts w:ascii="Arial" w:hAnsi="Arial" w:cs="Arial"/>
          <w:sz w:val="22"/>
          <w:szCs w:val="22"/>
        </w:rPr>
        <w:t>le priorità e le azioni da intraprendere come richiesto dall’art. 128 del D.Lgs. 163/2006, considerando comunque prioritari i lavori di manutenzione, recupero patrimonio, completamento lavori, progetti esecutivi approvati, interventi con possibilità di finanziamento privato maggioritario;</w:t>
      </w:r>
    </w:p>
    <w:p w:rsidR="004F39DA" w:rsidRPr="00632A65" w:rsidRDefault="004F39DA" w:rsidP="00E11CA8">
      <w:pPr>
        <w:numPr>
          <w:ilvl w:val="0"/>
          <w:numId w:val="4"/>
        </w:numPr>
        <w:spacing w:before="120"/>
        <w:ind w:left="357" w:hanging="357"/>
        <w:jc w:val="both"/>
        <w:rPr>
          <w:rFonts w:ascii="Arial" w:hAnsi="Arial" w:cs="Arial"/>
          <w:sz w:val="22"/>
          <w:szCs w:val="22"/>
        </w:rPr>
      </w:pPr>
      <w:r>
        <w:rPr>
          <w:rFonts w:ascii="Arial" w:hAnsi="Arial" w:cs="Arial"/>
          <w:sz w:val="22"/>
          <w:szCs w:val="22"/>
        </w:rPr>
        <w:t xml:space="preserve">non sono previsti lavori </w:t>
      </w:r>
      <w:r w:rsidRPr="00632A65">
        <w:rPr>
          <w:rFonts w:ascii="Arial" w:hAnsi="Arial" w:cs="Arial"/>
          <w:sz w:val="22"/>
          <w:szCs w:val="22"/>
        </w:rPr>
        <w:t>nell’elenco annuale;</w:t>
      </w:r>
    </w:p>
    <w:p w:rsidR="004F39DA" w:rsidRPr="00632A65" w:rsidRDefault="004F39DA" w:rsidP="00E11CA8">
      <w:pPr>
        <w:numPr>
          <w:ilvl w:val="0"/>
          <w:numId w:val="4"/>
        </w:numPr>
        <w:spacing w:before="120"/>
        <w:ind w:left="357" w:hanging="357"/>
        <w:jc w:val="both"/>
        <w:rPr>
          <w:rFonts w:ascii="Arial" w:hAnsi="Arial" w:cs="Arial"/>
          <w:sz w:val="22"/>
          <w:szCs w:val="22"/>
        </w:rPr>
      </w:pPr>
      <w:r w:rsidRPr="00632A65">
        <w:rPr>
          <w:rFonts w:ascii="Arial" w:hAnsi="Arial" w:cs="Arial"/>
          <w:sz w:val="22"/>
          <w:szCs w:val="22"/>
        </w:rPr>
        <w:t>la stima dei fabbisogni espressi in termini sia di competenza, sia di cassa, al fine del relativo finanziamento in coerenza con i vincoli di finanza pubblica.</w:t>
      </w:r>
    </w:p>
    <w:p w:rsidR="004F39DA" w:rsidRPr="00632A65" w:rsidRDefault="004F39DA" w:rsidP="003D76D9">
      <w:pPr>
        <w:spacing w:line="80" w:lineRule="exact"/>
        <w:jc w:val="both"/>
        <w:rPr>
          <w:rFonts w:ascii="Arial" w:hAnsi="Arial" w:cs="Arial"/>
          <w:sz w:val="22"/>
          <w:szCs w:val="22"/>
        </w:rPr>
      </w:pPr>
    </w:p>
    <w:p w:rsidR="004F39DA" w:rsidRPr="00632A65" w:rsidRDefault="004F39DA" w:rsidP="003D76D9">
      <w:pPr>
        <w:spacing w:before="120"/>
        <w:jc w:val="both"/>
        <w:rPr>
          <w:rFonts w:ascii="Arial" w:hAnsi="Arial" w:cs="Arial"/>
          <w:sz w:val="22"/>
          <w:szCs w:val="22"/>
        </w:rPr>
      </w:pPr>
      <w:r w:rsidRPr="00632A65">
        <w:rPr>
          <w:rFonts w:ascii="Arial" w:hAnsi="Arial" w:cs="Arial"/>
          <w:sz w:val="22"/>
          <w:szCs w:val="22"/>
        </w:rPr>
        <w:t>Il programma, dopo la sua approvazione consiliare, dovrà essere trasmesso all’Osservatorio dei lavori pubblici.</w:t>
      </w:r>
    </w:p>
    <w:p w:rsidR="004F39DA" w:rsidRPr="00632A65" w:rsidRDefault="004F39DA" w:rsidP="003D76D9">
      <w:pPr>
        <w:rPr>
          <w:rFonts w:ascii="Arial" w:hAnsi="Arial" w:cs="Arial"/>
          <w:b/>
          <w:sz w:val="20"/>
        </w:rPr>
      </w:pPr>
    </w:p>
    <w:p w:rsidR="004F39DA" w:rsidRPr="00632A65" w:rsidRDefault="004F39DA" w:rsidP="003D76D9">
      <w:pPr>
        <w:rPr>
          <w:rFonts w:ascii="Arial" w:hAnsi="Arial" w:cs="Arial"/>
          <w:b/>
          <w:sz w:val="22"/>
          <w:szCs w:val="22"/>
        </w:rPr>
      </w:pPr>
      <w:r w:rsidRPr="00632A65">
        <w:rPr>
          <w:rFonts w:ascii="Arial" w:hAnsi="Arial" w:cs="Arial"/>
          <w:b/>
          <w:sz w:val="22"/>
          <w:szCs w:val="22"/>
        </w:rPr>
        <w:t>7.2.2. programmazione del fabbisogno del personale</w:t>
      </w:r>
    </w:p>
    <w:p w:rsidR="004F39DA" w:rsidRPr="00632A65" w:rsidRDefault="004F39DA" w:rsidP="003D76D9">
      <w:pPr>
        <w:rPr>
          <w:rFonts w:ascii="Arial" w:hAnsi="Arial" w:cs="Arial"/>
          <w:b/>
          <w:sz w:val="20"/>
        </w:rPr>
      </w:pPr>
    </w:p>
    <w:p w:rsidR="004F39DA" w:rsidRPr="00632A65" w:rsidRDefault="004F39DA" w:rsidP="006B376A">
      <w:pPr>
        <w:jc w:val="both"/>
        <w:rPr>
          <w:rFonts w:ascii="Arial" w:hAnsi="Arial" w:cs="Arial"/>
          <w:sz w:val="22"/>
          <w:szCs w:val="22"/>
        </w:rPr>
      </w:pPr>
      <w:r w:rsidRPr="00632A65">
        <w:rPr>
          <w:rFonts w:ascii="Arial" w:hAnsi="Arial" w:cs="Arial"/>
          <w:sz w:val="22"/>
          <w:szCs w:val="22"/>
        </w:rPr>
        <w:t xml:space="preserve">La programmazione del fabbisogno di </w:t>
      </w:r>
      <w:r>
        <w:rPr>
          <w:rFonts w:ascii="Arial" w:hAnsi="Arial" w:cs="Arial"/>
          <w:sz w:val="22"/>
          <w:szCs w:val="22"/>
        </w:rPr>
        <w:t xml:space="preserve">personale prevista dall’art. 39, </w:t>
      </w:r>
      <w:r w:rsidRPr="00632A65">
        <w:rPr>
          <w:rFonts w:ascii="Arial" w:hAnsi="Arial" w:cs="Arial"/>
          <w:sz w:val="22"/>
          <w:szCs w:val="22"/>
        </w:rPr>
        <w:t>comma 1</w:t>
      </w:r>
      <w:r>
        <w:rPr>
          <w:rFonts w:ascii="Arial" w:hAnsi="Arial" w:cs="Arial"/>
          <w:sz w:val="22"/>
          <w:szCs w:val="22"/>
        </w:rPr>
        <w:t>, della legge</w:t>
      </w:r>
      <w:r w:rsidRPr="00632A65">
        <w:rPr>
          <w:rFonts w:ascii="Arial" w:hAnsi="Arial" w:cs="Arial"/>
          <w:sz w:val="22"/>
          <w:szCs w:val="22"/>
        </w:rPr>
        <w:t>449/1997 e dall’art.</w:t>
      </w:r>
      <w:r>
        <w:rPr>
          <w:rFonts w:ascii="Arial" w:hAnsi="Arial" w:cs="Arial"/>
          <w:sz w:val="22"/>
          <w:szCs w:val="22"/>
        </w:rPr>
        <w:t xml:space="preserve"> </w:t>
      </w:r>
      <w:r w:rsidRPr="00632A65">
        <w:rPr>
          <w:rFonts w:ascii="Arial" w:hAnsi="Arial" w:cs="Arial"/>
          <w:sz w:val="22"/>
          <w:szCs w:val="22"/>
        </w:rPr>
        <w:t xml:space="preserve">6 del D.Lgs. 165/2001 è stata approvata con specifico atto. Su tale atto </w:t>
      </w:r>
      <w:r>
        <w:rPr>
          <w:rFonts w:ascii="Arial" w:hAnsi="Arial" w:cs="Arial"/>
          <w:sz w:val="22"/>
          <w:szCs w:val="22"/>
        </w:rPr>
        <w:t>Il Revisore dei Conti</w:t>
      </w:r>
      <w:r w:rsidRPr="00632A65">
        <w:rPr>
          <w:rFonts w:ascii="Arial" w:hAnsi="Arial" w:cs="Arial"/>
          <w:sz w:val="22"/>
          <w:szCs w:val="22"/>
        </w:rPr>
        <w:t xml:space="preserve"> ha formulato il parere con verbale n</w:t>
      </w:r>
      <w:r>
        <w:rPr>
          <w:rFonts w:ascii="Arial" w:hAnsi="Arial" w:cs="Arial"/>
          <w:sz w:val="22"/>
          <w:szCs w:val="22"/>
        </w:rPr>
        <w:t>.</w:t>
      </w:r>
      <w:r w:rsidRPr="00632A65">
        <w:rPr>
          <w:rFonts w:ascii="Arial" w:hAnsi="Arial" w:cs="Arial"/>
          <w:sz w:val="22"/>
          <w:szCs w:val="22"/>
        </w:rPr>
        <w:t xml:space="preserve"> </w:t>
      </w:r>
      <w:r>
        <w:rPr>
          <w:rFonts w:ascii="Arial" w:hAnsi="Arial" w:cs="Arial"/>
          <w:sz w:val="22"/>
          <w:szCs w:val="22"/>
        </w:rPr>
        <w:t>28</w:t>
      </w:r>
      <w:r w:rsidRPr="00632A65">
        <w:rPr>
          <w:rFonts w:ascii="Arial" w:hAnsi="Arial" w:cs="Arial"/>
          <w:sz w:val="22"/>
          <w:szCs w:val="22"/>
        </w:rPr>
        <w:t xml:space="preserve"> in data</w:t>
      </w:r>
      <w:r>
        <w:rPr>
          <w:rFonts w:ascii="Arial" w:hAnsi="Arial" w:cs="Arial"/>
          <w:sz w:val="22"/>
          <w:szCs w:val="22"/>
        </w:rPr>
        <w:t xml:space="preserve"> 07/04/2016, </w:t>
      </w:r>
      <w:r w:rsidRPr="00632A65">
        <w:rPr>
          <w:rFonts w:ascii="Arial" w:hAnsi="Arial" w:cs="Arial"/>
          <w:sz w:val="22"/>
          <w:szCs w:val="22"/>
        </w:rPr>
        <w:t>ai sensi dell’art.</w:t>
      </w:r>
      <w:r>
        <w:rPr>
          <w:rFonts w:ascii="Arial" w:hAnsi="Arial" w:cs="Arial"/>
          <w:sz w:val="22"/>
          <w:szCs w:val="22"/>
        </w:rPr>
        <w:t xml:space="preserve"> </w:t>
      </w:r>
      <w:r w:rsidRPr="00632A65">
        <w:rPr>
          <w:rFonts w:ascii="Arial" w:hAnsi="Arial" w:cs="Arial"/>
          <w:sz w:val="22"/>
          <w:szCs w:val="22"/>
        </w:rPr>
        <w:t xml:space="preserve">19 della </w:t>
      </w:r>
      <w:r>
        <w:rPr>
          <w:rFonts w:ascii="Arial" w:hAnsi="Arial" w:cs="Arial"/>
          <w:sz w:val="22"/>
          <w:szCs w:val="22"/>
        </w:rPr>
        <w:t xml:space="preserve">legge </w:t>
      </w:r>
      <w:r w:rsidRPr="00632A65">
        <w:rPr>
          <w:rFonts w:ascii="Arial" w:hAnsi="Arial" w:cs="Arial"/>
          <w:sz w:val="22"/>
          <w:szCs w:val="22"/>
        </w:rPr>
        <w:t>448/2001.</w:t>
      </w: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Il DUP è coerente con il presente atto di programmazione di settore.</w:t>
      </w: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L’atto oltre ad assicurare le esigenze di funzionalità e d’ottimizzazione delle risorse per il miglior funzionamento dei servizi, prevede una riduzione della spesa attraverso il contenimento della dinamica retributiva ed occupazionale.</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 </w:t>
      </w:r>
    </w:p>
    <w:p w:rsidR="004F39DA" w:rsidRDefault="004F39DA" w:rsidP="003D76D9">
      <w:pPr>
        <w:jc w:val="both"/>
        <w:rPr>
          <w:rFonts w:ascii="Arial" w:hAnsi="Arial" w:cs="Arial"/>
          <w:sz w:val="22"/>
          <w:szCs w:val="22"/>
        </w:rPr>
      </w:pPr>
      <w:r w:rsidRPr="00632A65">
        <w:rPr>
          <w:rFonts w:ascii="Arial" w:hAnsi="Arial" w:cs="Arial"/>
          <w:sz w:val="22"/>
          <w:szCs w:val="22"/>
        </w:rPr>
        <w:t>Il fabbisogno di personale nel triennio 2016/2018, tiene conto dei vincoli disposti per le assunzi</w:t>
      </w:r>
      <w:r>
        <w:rPr>
          <w:rFonts w:ascii="Arial" w:hAnsi="Arial" w:cs="Arial"/>
          <w:sz w:val="22"/>
          <w:szCs w:val="22"/>
        </w:rPr>
        <w:t>oni e per la spesa di personale.</w:t>
      </w: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La previsione annuale e pluriennale è coerente con le esigenze finanziarie espresse nell’atto di programmazione del fabbisogno.</w:t>
      </w:r>
    </w:p>
    <w:p w:rsidR="004F39DA" w:rsidRPr="00632A65" w:rsidRDefault="004F39DA" w:rsidP="003D76D9">
      <w:pPr>
        <w:spacing w:after="60"/>
        <w:jc w:val="both"/>
        <w:rPr>
          <w:rFonts w:ascii="Arial" w:hAnsi="Arial" w:cs="Arial"/>
          <w:b/>
          <w:i/>
          <w:sz w:val="20"/>
          <w:szCs w:val="20"/>
          <w:u w:val="single"/>
        </w:rPr>
      </w:pPr>
    </w:p>
    <w:p w:rsidR="004F39DA" w:rsidRPr="00632A65" w:rsidRDefault="004F39DA" w:rsidP="003D76D9">
      <w:pPr>
        <w:pStyle w:val="Heading2"/>
      </w:pPr>
      <w:bookmarkStart w:id="26" w:name="_Toc346838829"/>
      <w:bookmarkStart w:id="27" w:name="_Toc314835188"/>
      <w:r w:rsidRPr="00632A65">
        <w:t>8.  Verifica della coerenza esterna</w:t>
      </w:r>
      <w:bookmarkEnd w:id="26"/>
      <w:bookmarkEnd w:id="27"/>
    </w:p>
    <w:p w:rsidR="004F39DA" w:rsidRPr="00632A65" w:rsidRDefault="004F39DA" w:rsidP="003D76D9">
      <w:pPr>
        <w:pStyle w:val="Heading3"/>
      </w:pPr>
    </w:p>
    <w:p w:rsidR="004F39DA" w:rsidRPr="00632A65" w:rsidRDefault="004F39DA" w:rsidP="003D76D9">
      <w:pPr>
        <w:rPr>
          <w:rFonts w:ascii="Arial" w:hAnsi="Arial" w:cs="Arial"/>
          <w:b/>
          <w:sz w:val="22"/>
          <w:szCs w:val="22"/>
          <w:u w:val="single"/>
        </w:rPr>
      </w:pPr>
      <w:r w:rsidRPr="00632A65">
        <w:rPr>
          <w:rFonts w:ascii="Arial" w:hAnsi="Arial" w:cs="Arial"/>
          <w:b/>
          <w:sz w:val="22"/>
          <w:szCs w:val="22"/>
          <w:u w:val="single"/>
        </w:rPr>
        <w:t>8.1. Saldo di finanza pubblica</w:t>
      </w:r>
    </w:p>
    <w:p w:rsidR="004F39DA" w:rsidRPr="00632A65" w:rsidRDefault="004F39DA" w:rsidP="003D76D9">
      <w:pPr>
        <w:rPr>
          <w:rFonts w:ascii="Arial" w:hAnsi="Arial" w:cs="Arial"/>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Come disposto dall’art.1</w:t>
      </w:r>
      <w:r>
        <w:rPr>
          <w:rFonts w:ascii="Arial" w:hAnsi="Arial" w:cs="Arial"/>
          <w:sz w:val="22"/>
          <w:szCs w:val="22"/>
        </w:rPr>
        <w:t xml:space="preserve">, </w:t>
      </w:r>
      <w:r w:rsidRPr="00632A65">
        <w:rPr>
          <w:rFonts w:ascii="Arial" w:hAnsi="Arial" w:cs="Arial"/>
          <w:sz w:val="22"/>
          <w:szCs w:val="22"/>
        </w:rPr>
        <w:t>comma 712</w:t>
      </w:r>
      <w:r>
        <w:rPr>
          <w:rFonts w:ascii="Arial" w:hAnsi="Arial" w:cs="Arial"/>
          <w:sz w:val="22"/>
          <w:szCs w:val="22"/>
        </w:rPr>
        <w:t xml:space="preserve">, </w:t>
      </w:r>
      <w:r w:rsidRPr="00632A65">
        <w:rPr>
          <w:rFonts w:ascii="Arial" w:hAnsi="Arial" w:cs="Arial"/>
          <w:sz w:val="22"/>
          <w:szCs w:val="22"/>
        </w:rPr>
        <w:t xml:space="preserve">della </w:t>
      </w:r>
      <w:r>
        <w:rPr>
          <w:rFonts w:ascii="Arial" w:hAnsi="Arial" w:cs="Arial"/>
          <w:sz w:val="22"/>
          <w:szCs w:val="22"/>
        </w:rPr>
        <w:t xml:space="preserve">legge </w:t>
      </w:r>
      <w:r w:rsidRPr="00632A65">
        <w:rPr>
          <w:rFonts w:ascii="Arial" w:hAnsi="Arial" w:cs="Arial"/>
          <w:sz w:val="22"/>
          <w:szCs w:val="22"/>
        </w:rPr>
        <w:t>208/2015, i comuni, le province, le città metropolitane e le province autonome di Trento e Bolzano, devono allegare al bilancio di prev</w:t>
      </w:r>
      <w:r>
        <w:rPr>
          <w:rFonts w:ascii="Arial" w:hAnsi="Arial" w:cs="Arial"/>
          <w:sz w:val="22"/>
          <w:szCs w:val="22"/>
        </w:rPr>
        <w:t>i</w:t>
      </w:r>
      <w:r w:rsidRPr="00632A65">
        <w:rPr>
          <w:rFonts w:ascii="Arial" w:hAnsi="Arial" w:cs="Arial"/>
          <w:sz w:val="22"/>
          <w:szCs w:val="22"/>
        </w:rPr>
        <w:t>sione un prospetto dimostrativo delle previsioni di competenza triennale rilevanti ai fini della verifica del rispetto del saldo di finanza pubblica.</w:t>
      </w:r>
    </w:p>
    <w:p w:rsidR="004F39DA" w:rsidRPr="00632A65" w:rsidRDefault="004F39DA" w:rsidP="003D76D9">
      <w:pPr>
        <w:jc w:val="both"/>
        <w:rPr>
          <w:rFonts w:ascii="Arial" w:hAnsi="Arial" w:cs="Arial"/>
          <w:sz w:val="22"/>
          <w:szCs w:val="22"/>
        </w:rPr>
      </w:pPr>
      <w:r w:rsidRPr="00632A65">
        <w:rPr>
          <w:rFonts w:ascii="Arial" w:hAnsi="Arial" w:cs="Arial"/>
          <w:sz w:val="22"/>
          <w:szCs w:val="22"/>
        </w:rPr>
        <w:t>Il saldo quale differenza fra entrate finali e spese finali</w:t>
      </w:r>
      <w:r>
        <w:rPr>
          <w:rFonts w:ascii="Arial" w:hAnsi="Arial" w:cs="Arial"/>
          <w:sz w:val="22"/>
          <w:szCs w:val="22"/>
        </w:rPr>
        <w:t xml:space="preserve"> non deve ess</w:t>
      </w:r>
      <w:r w:rsidRPr="00632A65">
        <w:rPr>
          <w:rFonts w:ascii="Arial" w:hAnsi="Arial" w:cs="Arial"/>
          <w:sz w:val="22"/>
          <w:szCs w:val="22"/>
        </w:rPr>
        <w:t>ere negativo.</w:t>
      </w:r>
    </w:p>
    <w:p w:rsidR="004F39DA" w:rsidRPr="00632A65" w:rsidRDefault="004F39DA" w:rsidP="003D76D9">
      <w:pPr>
        <w:jc w:val="both"/>
        <w:rPr>
          <w:rFonts w:ascii="Arial" w:hAnsi="Arial" w:cs="Arial"/>
          <w:sz w:val="22"/>
          <w:szCs w:val="22"/>
        </w:rPr>
      </w:pPr>
      <w:r w:rsidRPr="00632A65">
        <w:rPr>
          <w:rFonts w:ascii="Arial" w:hAnsi="Arial" w:cs="Arial"/>
          <w:sz w:val="22"/>
          <w:szCs w:val="22"/>
        </w:rPr>
        <w:t>A tal fine le entrate finali sono quelle ascrivibili ai titoli 1,2,3,4 e 5 e le spese finali quelle ascrivibili ai titoli 1,2, e 3 dello schema di bilancio ex D.Lgs. 118/2011.</w:t>
      </w:r>
    </w:p>
    <w:p w:rsidR="004F39DA" w:rsidRPr="00632A65" w:rsidRDefault="004F39DA" w:rsidP="003D76D9">
      <w:pPr>
        <w:jc w:val="both"/>
        <w:rPr>
          <w:rFonts w:ascii="Arial" w:hAnsi="Arial" w:cs="Arial"/>
          <w:sz w:val="22"/>
          <w:szCs w:val="22"/>
        </w:rPr>
      </w:pPr>
      <w:r w:rsidRPr="00632A65">
        <w:rPr>
          <w:rFonts w:ascii="Arial" w:hAnsi="Arial" w:cs="Arial"/>
          <w:sz w:val="22"/>
          <w:szCs w:val="22"/>
        </w:rPr>
        <w:t>Per l’anno 2016 nelle entrate e nelle spese finali in termini di competenza è considerato il FPV di entrata e di spesa, al netto della quota riveniente dal ricorso all’indebitamento.</w:t>
      </w:r>
    </w:p>
    <w:p w:rsidR="004F39DA" w:rsidRPr="00632A65" w:rsidRDefault="004F39DA" w:rsidP="003D76D9">
      <w:pPr>
        <w:jc w:val="both"/>
        <w:rPr>
          <w:rFonts w:ascii="Arial" w:hAnsi="Arial" w:cs="Arial"/>
          <w:sz w:val="22"/>
          <w:szCs w:val="22"/>
        </w:rPr>
      </w:pPr>
      <w:r w:rsidRPr="00632A65">
        <w:rPr>
          <w:rFonts w:ascii="Arial" w:hAnsi="Arial" w:cs="Arial"/>
          <w:sz w:val="22"/>
          <w:szCs w:val="22"/>
        </w:rPr>
        <w:t>Pertanto la previsione di bilancio 2016/2018 e le successive variazioni devono garantire il rispetto del saldo obiettivo.</w:t>
      </w:r>
    </w:p>
    <w:p w:rsidR="004F39DA" w:rsidRPr="00632A65" w:rsidRDefault="004F39DA" w:rsidP="003D76D9">
      <w:pPr>
        <w:jc w:val="both"/>
        <w:rPr>
          <w:rFonts w:ascii="Arial" w:hAnsi="Arial" w:cs="Arial"/>
          <w:sz w:val="22"/>
          <w:szCs w:val="22"/>
        </w:rPr>
      </w:pPr>
      <w:r w:rsidRPr="00632A65">
        <w:rPr>
          <w:rFonts w:ascii="Arial" w:hAnsi="Arial" w:cs="Arial"/>
          <w:sz w:val="22"/>
          <w:szCs w:val="22"/>
        </w:rPr>
        <w:t>In caso di mancato conseguimento del saldo di cui al comma 710, nell'anno successivo a quello dell'inadempienza:</w:t>
      </w: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0"/>
          <w:szCs w:val="20"/>
        </w:rPr>
      </w:pPr>
      <w:r w:rsidRPr="00632A65">
        <w:rPr>
          <w:rFonts w:ascii="Arial" w:hAnsi="Arial" w:cs="Arial"/>
          <w:sz w:val="20"/>
          <w:szCs w:val="20"/>
        </w:rPr>
        <w:t>a) l'ente locale è assoggettato ad una riduzione del fondo sperimentale di riequilibrio o  del  fondo  di  solidarietà  comunale  in  misura  pari all'importo corrispondente allo scostamento registrato.  Le province  della Regione siciliana e della regione Sardegna sono assoggettate alla  riduzione dei trasferimenti erariali nella misura indicata al primo periodo. Gli  enti locali delle regioni Friuli Venezia Giulia e Valle d'Aosta e delle  province autonome di Trento e di Bolzano  sono  assoggettati  ad  una  riduzione  dei trasferimenti correnti erogati dalle medesime regioni o province autonome in misura pari all'importo corrispondente allo scostamento registrato. In  caso di incapienza gli enti locali sono tenuti a versare all'entrata del bilancio dello Stato le somme residue  presso  la  competente  sezione  di  tesoreria provinciale dello Stato, al Capo X dell'entrata del bilancio dello Stato, al capitol</w:t>
      </w:r>
      <w:r>
        <w:rPr>
          <w:rFonts w:ascii="Arial" w:hAnsi="Arial" w:cs="Arial"/>
          <w:sz w:val="20"/>
          <w:szCs w:val="20"/>
        </w:rPr>
        <w:t>o 3509, articolo 2. In caso di mancato</w:t>
      </w:r>
      <w:r w:rsidRPr="00632A65">
        <w:rPr>
          <w:rFonts w:ascii="Arial" w:hAnsi="Arial" w:cs="Arial"/>
          <w:sz w:val="20"/>
          <w:szCs w:val="20"/>
        </w:rPr>
        <w:t xml:space="preserve"> versamento  delle  predette somme residue nell'anno successivo a quello dell'inadempienza, il recupero è operato con le procedure di cui ai commi 128 e  129  dell'</w:t>
      </w:r>
      <w:hyperlink r:id="rId27" w:history="1">
        <w:r w:rsidRPr="00632A65">
          <w:rPr>
            <w:rFonts w:ascii="Arial" w:hAnsi="Arial" w:cs="Arial"/>
            <w:sz w:val="20"/>
            <w:szCs w:val="20"/>
          </w:rPr>
          <w:t>articolo  1</w:t>
        </w:r>
      </w:hyperlink>
      <w:r w:rsidRPr="00632A65">
        <w:rPr>
          <w:rFonts w:ascii="Arial" w:hAnsi="Arial" w:cs="Arial"/>
          <w:sz w:val="20"/>
          <w:szCs w:val="20"/>
        </w:rPr>
        <w:t xml:space="preserve">  della </w:t>
      </w:r>
      <w:r>
        <w:rPr>
          <w:rFonts w:ascii="Arial" w:hAnsi="Arial" w:cs="Arial"/>
          <w:sz w:val="20"/>
          <w:szCs w:val="20"/>
        </w:rPr>
        <w:t>legge</w:t>
      </w:r>
      <w:r w:rsidRPr="00632A65">
        <w:rPr>
          <w:rFonts w:ascii="Arial" w:hAnsi="Arial" w:cs="Arial"/>
          <w:sz w:val="20"/>
          <w:szCs w:val="20"/>
        </w:rPr>
        <w:t>24 dicembre 2012, n. 228;</w:t>
      </w:r>
    </w:p>
    <w:p w:rsidR="004F39DA" w:rsidRPr="00632A65" w:rsidRDefault="004F39DA" w:rsidP="003D76D9">
      <w:pPr>
        <w:jc w:val="both"/>
        <w:rPr>
          <w:rFonts w:ascii="Arial" w:hAnsi="Arial" w:cs="Arial"/>
          <w:sz w:val="20"/>
          <w:szCs w:val="20"/>
        </w:rPr>
      </w:pPr>
      <w:r w:rsidRPr="00632A65">
        <w:rPr>
          <w:rFonts w:ascii="Arial" w:hAnsi="Arial" w:cs="Arial"/>
          <w:sz w:val="20"/>
          <w:szCs w:val="20"/>
        </w:rPr>
        <w:t>b) la regione è tenuta a versare all'entrata del bilancio  dell</w:t>
      </w:r>
      <w:r>
        <w:rPr>
          <w:rFonts w:ascii="Arial" w:hAnsi="Arial" w:cs="Arial"/>
          <w:sz w:val="20"/>
          <w:szCs w:val="20"/>
        </w:rPr>
        <w:t xml:space="preserve">o  Stato,entro sessanta giorni dal termine </w:t>
      </w:r>
      <w:r w:rsidRPr="00632A65">
        <w:rPr>
          <w:rFonts w:ascii="Arial" w:hAnsi="Arial" w:cs="Arial"/>
          <w:sz w:val="20"/>
          <w:szCs w:val="20"/>
        </w:rPr>
        <w:t>stabilito  per  la  trasmissione  della certificazione relativa al rispetto  del  pareggio  di  bilancio,  l'importo corrispondente allo scostamento registrato. In caso di mancato versamento si procede al recupero di detto scostamento a valere sulle giacenze  depositate a qualsiasi titolo nei conti ap</w:t>
      </w:r>
      <w:r>
        <w:rPr>
          <w:rFonts w:ascii="Arial" w:hAnsi="Arial" w:cs="Arial"/>
          <w:sz w:val="20"/>
          <w:szCs w:val="20"/>
        </w:rPr>
        <w:t xml:space="preserve">erti presso la tesoreria </w:t>
      </w:r>
      <w:r w:rsidRPr="00632A65">
        <w:rPr>
          <w:rFonts w:ascii="Arial" w:hAnsi="Arial" w:cs="Arial"/>
          <w:sz w:val="20"/>
          <w:szCs w:val="20"/>
        </w:rPr>
        <w:t>statale.  Trascorso inutilmente il termine dei trenta giorni dal  termine  di  approvazione  del rendiconto della gestione per la trasmissione della certificazione da  parte della regione, si procede al blocco di qualsiasi prelievo  dai  conti  della tesoreria statale sino a quando la certificazione non è acquisita;</w:t>
      </w:r>
    </w:p>
    <w:p w:rsidR="004F39DA" w:rsidRPr="00632A65" w:rsidRDefault="004F39DA" w:rsidP="003D76D9">
      <w:pPr>
        <w:jc w:val="both"/>
        <w:rPr>
          <w:rFonts w:ascii="Arial" w:hAnsi="Arial" w:cs="Arial"/>
          <w:sz w:val="20"/>
          <w:szCs w:val="20"/>
        </w:rPr>
      </w:pPr>
      <w:r w:rsidRPr="00632A65">
        <w:rPr>
          <w:rFonts w:ascii="Arial" w:hAnsi="Arial" w:cs="Arial"/>
          <w:sz w:val="20"/>
          <w:szCs w:val="20"/>
        </w:rPr>
        <w:t xml:space="preserve">c) l'ente non può impegnare spese correnti,  per  le  regioni  al  netto delle </w:t>
      </w:r>
      <w:r>
        <w:rPr>
          <w:rFonts w:ascii="Arial" w:hAnsi="Arial" w:cs="Arial"/>
          <w:sz w:val="20"/>
          <w:szCs w:val="20"/>
        </w:rPr>
        <w:t xml:space="preserve"> spese  per  la sanità, in misura </w:t>
      </w:r>
      <w:r w:rsidRPr="00632A65">
        <w:rPr>
          <w:rFonts w:ascii="Arial" w:hAnsi="Arial" w:cs="Arial"/>
          <w:sz w:val="20"/>
          <w:szCs w:val="20"/>
        </w:rPr>
        <w:t>superiore   all'importo   dei corrispondenti  im</w:t>
      </w:r>
      <w:r>
        <w:rPr>
          <w:rFonts w:ascii="Arial" w:hAnsi="Arial" w:cs="Arial"/>
          <w:sz w:val="20"/>
          <w:szCs w:val="20"/>
        </w:rPr>
        <w:t xml:space="preserve">pegni  effettuati </w:t>
      </w:r>
      <w:r w:rsidRPr="00632A65">
        <w:rPr>
          <w:rFonts w:ascii="Arial" w:hAnsi="Arial" w:cs="Arial"/>
          <w:sz w:val="20"/>
          <w:szCs w:val="20"/>
        </w:rPr>
        <w:t>nell'</w:t>
      </w:r>
      <w:r>
        <w:rPr>
          <w:rFonts w:ascii="Arial" w:hAnsi="Arial" w:cs="Arial"/>
          <w:sz w:val="20"/>
          <w:szCs w:val="20"/>
        </w:rPr>
        <w:t xml:space="preserve">anno precedente a quello </w:t>
      </w:r>
      <w:r w:rsidRPr="00632A65">
        <w:rPr>
          <w:rFonts w:ascii="Arial" w:hAnsi="Arial" w:cs="Arial"/>
          <w:sz w:val="20"/>
          <w:szCs w:val="20"/>
        </w:rPr>
        <w:t>di riferimento;</w:t>
      </w:r>
    </w:p>
    <w:p w:rsidR="004F39DA" w:rsidRPr="00632A65" w:rsidRDefault="004F39DA" w:rsidP="003D76D9">
      <w:pPr>
        <w:jc w:val="both"/>
        <w:rPr>
          <w:rFonts w:ascii="Arial" w:hAnsi="Arial" w:cs="Arial"/>
          <w:sz w:val="20"/>
          <w:szCs w:val="20"/>
        </w:rPr>
      </w:pPr>
      <w:r w:rsidRPr="00632A65">
        <w:rPr>
          <w:rFonts w:ascii="Arial" w:hAnsi="Arial" w:cs="Arial"/>
          <w:sz w:val="20"/>
          <w:szCs w:val="20"/>
        </w:rPr>
        <w:t>d) l'ente non può ricorrere all'indebitamento per  gli  investimenti;  i mutui e i prestiti obbligazionari posti in essere con istituzioni creditizie o finanziarie per il finanziamento degli investimenti o le aperture di linee di credito devono essere corredati da apposita attestazione da  cui  risulti il conseguimento dell'obiettivo di cui al primo  periodo  relativo  all'anno precedente. L'istituto finanziatore o l'intermediario  finanziario  non  può procedere al finanziamento o al collocamento del prestito in  assenza  della predetta attestazione;</w:t>
      </w:r>
    </w:p>
    <w:p w:rsidR="004F39DA" w:rsidRPr="00632A65" w:rsidRDefault="004F39DA" w:rsidP="003D76D9">
      <w:pPr>
        <w:jc w:val="both"/>
        <w:rPr>
          <w:rFonts w:ascii="Arial" w:hAnsi="Arial" w:cs="Arial"/>
          <w:sz w:val="20"/>
          <w:szCs w:val="20"/>
        </w:rPr>
      </w:pPr>
      <w:r w:rsidRPr="00632A65">
        <w:rPr>
          <w:rFonts w:ascii="Arial" w:hAnsi="Arial" w:cs="Arial"/>
          <w:sz w:val="20"/>
          <w:szCs w:val="20"/>
        </w:rPr>
        <w:t>e) l'ente non può procedere  ad  assunzioni  di  personale  a  qualsiasi titolo, con qualsivoglia tipologia contrattuale, ivi compresi i rapporti  di collaborazione coordinata e continuativa e di  somministrazione,  anche  con riferimento ai processi di stabilizzazione in atto. E' fatto altresì divieto agli enti di stipulare contratti di servizio con  soggetti  privati  che  si configurino come elusivi della presente disposizione;</w:t>
      </w:r>
    </w:p>
    <w:p w:rsidR="004F39DA" w:rsidRPr="00632A65" w:rsidRDefault="004F39DA" w:rsidP="003D76D9">
      <w:pPr>
        <w:jc w:val="both"/>
        <w:rPr>
          <w:rFonts w:ascii="Arial" w:hAnsi="Arial" w:cs="Arial"/>
          <w:sz w:val="20"/>
          <w:szCs w:val="20"/>
        </w:rPr>
      </w:pPr>
      <w:r w:rsidRPr="00632A65">
        <w:rPr>
          <w:rFonts w:ascii="Arial" w:hAnsi="Arial" w:cs="Arial"/>
          <w:sz w:val="20"/>
          <w:szCs w:val="20"/>
        </w:rPr>
        <w:t>f) l'ente è tenuto a rideterminare le indennità di funzione ed i gettoni di presenza del presidente, del sindaco e dei  componenti  della  giunta  in carica nell'esercizio in cui è avvenuta la violazione, con una riduzione del 30 per cento rispetto all'ammontare risultante alla data del 30 giugno 2014.</w:t>
      </w:r>
    </w:p>
    <w:p w:rsidR="004F39DA" w:rsidRPr="00632A65" w:rsidRDefault="004F39DA" w:rsidP="003D76D9">
      <w:pPr>
        <w:jc w:val="both"/>
        <w:rPr>
          <w:rFonts w:ascii="Arial" w:hAnsi="Arial" w:cs="Arial"/>
          <w:sz w:val="20"/>
          <w:szCs w:val="20"/>
        </w:rPr>
      </w:pPr>
      <w:r w:rsidRPr="00632A65">
        <w:rPr>
          <w:rFonts w:ascii="Arial" w:hAnsi="Arial" w:cs="Arial"/>
          <w:sz w:val="20"/>
          <w:szCs w:val="20"/>
        </w:rPr>
        <w:t>Gli importi  di  cui  al  periodo  precedente  sono  acquisiti  al  bilancio dell'ente.</w:t>
      </w:r>
    </w:p>
    <w:p w:rsidR="004F39DA" w:rsidRPr="00632A65" w:rsidRDefault="004F39DA" w:rsidP="003D76D9">
      <w:pPr>
        <w:spacing w:before="120" w:after="60"/>
        <w:jc w:val="both"/>
        <w:rPr>
          <w:rFonts w:ascii="Arial" w:hAnsi="Arial" w:cs="Arial"/>
          <w:sz w:val="22"/>
          <w:szCs w:val="22"/>
        </w:rPr>
      </w:pPr>
    </w:p>
    <w:p w:rsidR="004F39DA" w:rsidRPr="00632A65" w:rsidRDefault="004F39DA" w:rsidP="003D76D9">
      <w:pPr>
        <w:jc w:val="both"/>
        <w:rPr>
          <w:rFonts w:ascii="Arial" w:hAnsi="Arial" w:cs="Arial"/>
          <w:sz w:val="22"/>
          <w:szCs w:val="22"/>
        </w:rPr>
      </w:pPr>
      <w:r>
        <w:rPr>
          <w:rFonts w:ascii="Arial" w:hAnsi="Arial" w:cs="Arial"/>
          <w:sz w:val="22"/>
          <w:szCs w:val="22"/>
        </w:rPr>
        <w:br w:type="page"/>
      </w:r>
    </w:p>
    <w:p w:rsidR="004F39DA" w:rsidRPr="00632A65" w:rsidRDefault="004F39DA" w:rsidP="003D76D9">
      <w:pPr>
        <w:spacing w:before="120" w:after="60"/>
        <w:jc w:val="both"/>
        <w:rPr>
          <w:rFonts w:ascii="Arial" w:hAnsi="Arial" w:cs="Arial"/>
          <w:sz w:val="22"/>
          <w:szCs w:val="22"/>
        </w:rPr>
      </w:pPr>
      <w:r w:rsidRPr="00632A65">
        <w:rPr>
          <w:rFonts w:ascii="Arial" w:hAnsi="Arial" w:cs="Arial"/>
          <w:sz w:val="22"/>
          <w:szCs w:val="22"/>
        </w:rPr>
        <w:t>Dalla verifica della coerenza delle previsioni con l’obiettivo di saldo risulta:</w:t>
      </w:r>
    </w:p>
    <w:p w:rsidR="004F39DA" w:rsidRDefault="004F39DA" w:rsidP="003D76D9">
      <w:pPr>
        <w:spacing w:before="120" w:after="60"/>
        <w:jc w:val="both"/>
        <w:rPr>
          <w:rFonts w:ascii="Arial" w:hAnsi="Arial" w:cs="Arial"/>
          <w:sz w:val="22"/>
          <w:szCs w:val="22"/>
        </w:rPr>
      </w:pPr>
      <w:r w:rsidRPr="00632A65">
        <w:rPr>
          <w:rFonts w:ascii="Arial" w:hAnsi="Arial" w:cs="Arial"/>
          <w:sz w:val="22"/>
          <w:szCs w:val="22"/>
        </w:rPr>
        <w:object w:dxaOrig="11009" w:dyaOrig="12326">
          <v:shape id="_x0000_i1033" type="#_x0000_t75" style="width:473.25pt;height:530.25pt" o:ole="">
            <v:imagedata r:id="rId28" o:title=""/>
          </v:shape>
          <o:OLEObject Type="Embed" ProgID="Excel.Sheet.12" ShapeID="_x0000_i1033" DrawAspect="Content" ObjectID="_1547456135" r:id="rId29"/>
        </w:object>
      </w:r>
      <w:bookmarkStart w:id="28" w:name="_Toc346838830"/>
    </w:p>
    <w:p w:rsidR="004F39DA" w:rsidRDefault="004F39DA" w:rsidP="003D76D9">
      <w:pPr>
        <w:spacing w:before="120" w:after="60"/>
        <w:jc w:val="both"/>
        <w:rPr>
          <w:rFonts w:ascii="Arial" w:hAnsi="Arial" w:cs="Arial"/>
          <w:sz w:val="22"/>
          <w:szCs w:val="22"/>
        </w:rPr>
      </w:pPr>
    </w:p>
    <w:p w:rsidR="004F39DA" w:rsidRPr="00632A65" w:rsidRDefault="004F39DA" w:rsidP="003D76D9">
      <w:pPr>
        <w:spacing w:before="120" w:after="60"/>
        <w:jc w:val="both"/>
        <w:rPr>
          <w:rFonts w:ascii="Arial" w:hAnsi="Arial" w:cs="Arial"/>
          <w:sz w:val="22"/>
          <w:szCs w:val="22"/>
        </w:rPr>
      </w:pPr>
      <w:r>
        <w:rPr>
          <w:rFonts w:ascii="Arial" w:hAnsi="Arial" w:cs="Arial"/>
          <w:sz w:val="22"/>
          <w:szCs w:val="22"/>
        </w:rPr>
        <w:br w:type="page"/>
      </w:r>
    </w:p>
    <w:p w:rsidR="004F39DA" w:rsidRPr="00632A65" w:rsidRDefault="004F39DA" w:rsidP="003D76D9">
      <w:pPr>
        <w:pStyle w:val="Heading1"/>
        <w:shd w:val="clear" w:color="auto" w:fill="B6DDE8"/>
      </w:pPr>
      <w:bookmarkStart w:id="29" w:name="_Toc314835189"/>
      <w:r w:rsidRPr="00632A65">
        <w:t>VERIFICA ATTENDIBILITA’ E CONGRUITA’ DELLE PREVISIONI ANNO 201</w:t>
      </w:r>
      <w:bookmarkEnd w:id="28"/>
      <w:r w:rsidRPr="00632A65">
        <w:t>6-2018</w:t>
      </w:r>
      <w:bookmarkEnd w:id="29"/>
    </w:p>
    <w:p w:rsidR="004F39DA" w:rsidRPr="00632A65" w:rsidRDefault="004F39DA" w:rsidP="003D76D9">
      <w:pPr>
        <w:pStyle w:val="Heading2"/>
      </w:pPr>
      <w:bookmarkStart w:id="30" w:name="_Toc314835190"/>
      <w:r w:rsidRPr="00632A65">
        <w:t>A) ENTRATE CORRENTI</w:t>
      </w:r>
      <w:bookmarkEnd w:id="30"/>
      <w:r w:rsidRPr="00632A65">
        <w:t xml:space="preserve"> </w:t>
      </w:r>
    </w:p>
    <w:p w:rsidR="004F39DA" w:rsidRPr="00632A65" w:rsidRDefault="004F39DA" w:rsidP="003D76D9">
      <w:pPr>
        <w:pStyle w:val="BodyText2"/>
        <w:numPr>
          <w:ilvl w:val="12"/>
          <w:numId w:val="0"/>
        </w:numPr>
        <w:tabs>
          <w:tab w:val="clear" w:pos="426"/>
          <w:tab w:val="left" w:pos="708"/>
        </w:tabs>
        <w:jc w:val="both"/>
        <w:rPr>
          <w:sz w:val="20"/>
        </w:rPr>
      </w:pPr>
    </w:p>
    <w:p w:rsidR="004F39DA" w:rsidRPr="00632A65" w:rsidRDefault="004F39DA" w:rsidP="003D76D9">
      <w:pPr>
        <w:pStyle w:val="BodyText2"/>
        <w:numPr>
          <w:ilvl w:val="12"/>
          <w:numId w:val="0"/>
        </w:numPr>
        <w:tabs>
          <w:tab w:val="clear" w:pos="426"/>
          <w:tab w:val="left" w:pos="708"/>
        </w:tabs>
        <w:jc w:val="both"/>
        <w:rPr>
          <w:sz w:val="20"/>
        </w:rPr>
      </w:pPr>
    </w:p>
    <w:p w:rsidR="004F39DA" w:rsidRPr="00632A65" w:rsidRDefault="004F39DA" w:rsidP="003D76D9">
      <w:pPr>
        <w:pStyle w:val="BodyText2"/>
        <w:numPr>
          <w:ilvl w:val="12"/>
          <w:numId w:val="0"/>
        </w:numPr>
        <w:tabs>
          <w:tab w:val="clear" w:pos="426"/>
          <w:tab w:val="left" w:pos="708"/>
        </w:tabs>
        <w:jc w:val="both"/>
        <w:rPr>
          <w:szCs w:val="22"/>
        </w:rPr>
      </w:pPr>
      <w:r w:rsidRPr="00632A65">
        <w:rPr>
          <w:szCs w:val="22"/>
        </w:rPr>
        <w:t>Ai fini della verifica dell’attendibilità delle entrate e congruità delle spese previste per gli esercizi 2016-2018, alla luce della manovra disposta dall’ente, sono state analizzate in particolare le voci di bilancio appresso riportate.</w:t>
      </w:r>
    </w:p>
    <w:p w:rsidR="004F39DA" w:rsidRPr="00632A65" w:rsidRDefault="004F39DA" w:rsidP="003D76D9">
      <w:pPr>
        <w:pStyle w:val="BodyText2"/>
        <w:numPr>
          <w:ilvl w:val="12"/>
          <w:numId w:val="0"/>
        </w:numPr>
        <w:tabs>
          <w:tab w:val="clear" w:pos="426"/>
          <w:tab w:val="left" w:pos="708"/>
        </w:tabs>
        <w:jc w:val="both"/>
        <w:rPr>
          <w:i/>
          <w:color w:val="365F91"/>
          <w:szCs w:val="22"/>
        </w:rPr>
      </w:pPr>
      <w:r w:rsidRPr="00632A65">
        <w:rPr>
          <w:i/>
          <w:color w:val="365F91"/>
          <w:szCs w:val="22"/>
        </w:rPr>
        <w:t xml:space="preserve">(L’art.1, comma 26 della </w:t>
      </w:r>
      <w:r>
        <w:rPr>
          <w:i/>
          <w:color w:val="365F91"/>
          <w:szCs w:val="22"/>
        </w:rPr>
        <w:t xml:space="preserve">legge </w:t>
      </w:r>
      <w:r w:rsidRPr="00632A65">
        <w:rPr>
          <w:i/>
          <w:color w:val="365F91"/>
          <w:szCs w:val="22"/>
        </w:rPr>
        <w:t>208/2015 ha disposto la sospensione dell’efficacia delle deliberazioni degli enti locali in cui prevedono aumenti dei tributi e delle addizionali rispetto ai livelli di aliquote o tariffe applicabili per l’anno 2015 con esclusione della TARI)</w:t>
      </w:r>
    </w:p>
    <w:p w:rsidR="004F39DA" w:rsidRPr="00632A65" w:rsidRDefault="004F39DA" w:rsidP="003D76D9">
      <w:pPr>
        <w:pStyle w:val="BodyText2"/>
        <w:numPr>
          <w:ilvl w:val="12"/>
          <w:numId w:val="0"/>
        </w:numPr>
        <w:tabs>
          <w:tab w:val="clear" w:pos="426"/>
          <w:tab w:val="left" w:pos="708"/>
        </w:tabs>
        <w:jc w:val="both"/>
        <w:rPr>
          <w:i/>
          <w:szCs w:val="22"/>
        </w:rPr>
      </w:pPr>
    </w:p>
    <w:p w:rsidR="004F39DA" w:rsidRPr="00632A65" w:rsidRDefault="004F39DA" w:rsidP="003D76D9">
      <w:pPr>
        <w:rPr>
          <w:rFonts w:ascii="Arial" w:hAnsi="Arial" w:cs="Arial"/>
          <w:b/>
          <w:u w:val="single"/>
        </w:rPr>
      </w:pPr>
      <w:bookmarkStart w:id="31" w:name="_ENTRATE_CORRENTI"/>
      <w:bookmarkEnd w:id="31"/>
      <w:r w:rsidRPr="00632A65">
        <w:rPr>
          <w:rFonts w:ascii="Arial" w:hAnsi="Arial" w:cs="Arial"/>
          <w:b/>
          <w:u w:val="single"/>
        </w:rPr>
        <w:t>Imposta municipale propria</w:t>
      </w: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r w:rsidRPr="00632A65">
        <w:rPr>
          <w:rFonts w:ascii="Arial" w:hAnsi="Arial" w:cs="Arial"/>
          <w:sz w:val="22"/>
          <w:szCs w:val="22"/>
        </w:rPr>
        <w:t>Il gettito, determinato sulla base:</w:t>
      </w:r>
    </w:p>
    <w:p w:rsidR="004F39DA" w:rsidRPr="00632A65" w:rsidRDefault="004F39DA" w:rsidP="00E11CA8">
      <w:pPr>
        <w:numPr>
          <w:ilvl w:val="0"/>
          <w:numId w:val="13"/>
        </w:numPr>
        <w:rPr>
          <w:rFonts w:ascii="Arial" w:hAnsi="Arial" w:cs="Arial"/>
          <w:sz w:val="22"/>
          <w:szCs w:val="22"/>
        </w:rPr>
      </w:pPr>
      <w:r w:rsidRPr="00632A65">
        <w:rPr>
          <w:rFonts w:ascii="Arial" w:hAnsi="Arial" w:cs="Arial"/>
          <w:sz w:val="22"/>
          <w:szCs w:val="22"/>
        </w:rPr>
        <w:t>dell’art. 1, comma 380</w:t>
      </w:r>
      <w:r>
        <w:rPr>
          <w:rFonts w:ascii="Arial" w:hAnsi="Arial" w:cs="Arial"/>
          <w:sz w:val="22"/>
          <w:szCs w:val="22"/>
        </w:rPr>
        <w:t xml:space="preserve">, </w:t>
      </w:r>
      <w:r w:rsidRPr="00632A65">
        <w:rPr>
          <w:rFonts w:ascii="Arial" w:hAnsi="Arial" w:cs="Arial"/>
          <w:sz w:val="22"/>
          <w:szCs w:val="22"/>
        </w:rPr>
        <w:t xml:space="preserve">della </w:t>
      </w:r>
      <w:r>
        <w:rPr>
          <w:rFonts w:ascii="Arial" w:hAnsi="Arial" w:cs="Arial"/>
          <w:sz w:val="22"/>
          <w:szCs w:val="22"/>
        </w:rPr>
        <w:t xml:space="preserve">legge </w:t>
      </w:r>
      <w:r w:rsidRPr="00632A65">
        <w:rPr>
          <w:rFonts w:ascii="Arial" w:hAnsi="Arial" w:cs="Arial"/>
          <w:sz w:val="22"/>
          <w:szCs w:val="22"/>
        </w:rPr>
        <w:t>24/12/2012 n. 228;</w:t>
      </w:r>
    </w:p>
    <w:p w:rsidR="004F39DA" w:rsidRDefault="004F39DA" w:rsidP="00E11CA8">
      <w:pPr>
        <w:numPr>
          <w:ilvl w:val="0"/>
          <w:numId w:val="13"/>
        </w:numPr>
        <w:jc w:val="both"/>
        <w:rPr>
          <w:rFonts w:ascii="Arial" w:hAnsi="Arial" w:cs="Arial"/>
          <w:sz w:val="22"/>
          <w:szCs w:val="22"/>
        </w:rPr>
      </w:pPr>
      <w:r>
        <w:rPr>
          <w:rFonts w:ascii="Arial" w:hAnsi="Arial" w:cs="Arial"/>
          <w:sz w:val="22"/>
          <w:szCs w:val="22"/>
        </w:rPr>
        <w:t xml:space="preserve">sono confermate </w:t>
      </w:r>
      <w:r w:rsidRPr="00632A65">
        <w:rPr>
          <w:rFonts w:ascii="Arial" w:hAnsi="Arial" w:cs="Arial"/>
          <w:sz w:val="22"/>
          <w:szCs w:val="22"/>
        </w:rPr>
        <w:t xml:space="preserve">per l’anno 2016 </w:t>
      </w:r>
      <w:r>
        <w:rPr>
          <w:rFonts w:ascii="Arial" w:hAnsi="Arial" w:cs="Arial"/>
          <w:sz w:val="22"/>
          <w:szCs w:val="22"/>
        </w:rPr>
        <w:t xml:space="preserve">le aliquote approvate nell’anno 2015; </w:t>
      </w:r>
    </w:p>
    <w:p w:rsidR="004F39DA" w:rsidRDefault="004F39DA" w:rsidP="003D76D9">
      <w:pPr>
        <w:jc w:val="both"/>
        <w:rPr>
          <w:rFonts w:ascii="Arial" w:hAnsi="Arial" w:cs="Arial"/>
          <w:sz w:val="22"/>
          <w:szCs w:val="22"/>
        </w:rPr>
      </w:pPr>
    </w:p>
    <w:p w:rsidR="004F39DA" w:rsidRPr="00632A65" w:rsidRDefault="004F39DA" w:rsidP="003D76D9">
      <w:pPr>
        <w:jc w:val="both"/>
        <w:rPr>
          <w:rFonts w:ascii="Arial" w:hAnsi="Arial" w:cs="Arial"/>
          <w:i/>
          <w:color w:val="365F91"/>
          <w:sz w:val="22"/>
          <w:szCs w:val="22"/>
        </w:rPr>
      </w:pPr>
      <w:r w:rsidRPr="00632A65">
        <w:rPr>
          <w:rFonts w:ascii="Arial" w:hAnsi="Arial" w:cs="Arial"/>
          <w:sz w:val="22"/>
          <w:szCs w:val="22"/>
        </w:rPr>
        <w:t xml:space="preserve">è stato previsto in euro </w:t>
      </w:r>
      <w:r w:rsidRPr="005637E3">
        <w:rPr>
          <w:rFonts w:ascii="Arial" w:hAnsi="Arial" w:cs="Arial"/>
          <w:sz w:val="22"/>
          <w:szCs w:val="22"/>
        </w:rPr>
        <w:t xml:space="preserve">181.678,55 </w:t>
      </w:r>
      <w:r w:rsidRPr="00632A65">
        <w:rPr>
          <w:rFonts w:ascii="Arial" w:hAnsi="Arial" w:cs="Arial"/>
          <w:sz w:val="22"/>
          <w:szCs w:val="22"/>
        </w:rPr>
        <w:t xml:space="preserve">con un aumento di euro </w:t>
      </w:r>
      <w:r>
        <w:rPr>
          <w:rFonts w:ascii="Arial" w:hAnsi="Arial" w:cs="Arial"/>
          <w:sz w:val="22"/>
          <w:szCs w:val="22"/>
        </w:rPr>
        <w:t>46.319,46</w:t>
      </w:r>
      <w:r w:rsidRPr="00632A65">
        <w:rPr>
          <w:rFonts w:ascii="Arial" w:hAnsi="Arial" w:cs="Arial"/>
          <w:sz w:val="22"/>
          <w:szCs w:val="22"/>
        </w:rPr>
        <w:t xml:space="preserve"> rispetto alla somma accertata per IMU nel rendiconto 2015</w:t>
      </w:r>
      <w:r>
        <w:rPr>
          <w:rFonts w:ascii="Arial" w:hAnsi="Arial" w:cs="Arial"/>
          <w:sz w:val="22"/>
          <w:szCs w:val="22"/>
        </w:rPr>
        <w:t>.</w:t>
      </w:r>
    </w:p>
    <w:p w:rsidR="004F39DA" w:rsidRPr="00632A65" w:rsidRDefault="004F39DA" w:rsidP="003D76D9">
      <w:pPr>
        <w:jc w:val="both"/>
        <w:rPr>
          <w:rFonts w:ascii="Arial" w:hAnsi="Arial" w:cs="Arial"/>
          <w:i/>
          <w:sz w:val="22"/>
          <w:szCs w:val="22"/>
        </w:rPr>
      </w:pPr>
      <w:r w:rsidRPr="00632A65">
        <w:rPr>
          <w:rFonts w:ascii="Arial" w:hAnsi="Arial" w:cs="Arial"/>
          <w:sz w:val="22"/>
          <w:szCs w:val="22"/>
        </w:rPr>
        <w:t>Il gettito derivante dall’attività di controllo delle dichiarazioni ICI/IMU di anni precedenti è previsto in euro</w:t>
      </w:r>
      <w:r>
        <w:rPr>
          <w:rFonts w:ascii="Arial" w:hAnsi="Arial" w:cs="Arial"/>
          <w:sz w:val="22"/>
          <w:szCs w:val="22"/>
        </w:rPr>
        <w:t xml:space="preserve"> 13.995,00</w:t>
      </w:r>
      <w:r w:rsidRPr="00632A65">
        <w:rPr>
          <w:rFonts w:ascii="Arial" w:hAnsi="Arial" w:cs="Arial"/>
          <w:sz w:val="22"/>
          <w:szCs w:val="22"/>
        </w:rPr>
        <w:t>, con un</w:t>
      </w:r>
      <w:r>
        <w:rPr>
          <w:rFonts w:ascii="Arial" w:hAnsi="Arial" w:cs="Arial"/>
          <w:sz w:val="22"/>
          <w:szCs w:val="22"/>
        </w:rPr>
        <w:t xml:space="preserve">a diminuzione </w:t>
      </w:r>
      <w:r w:rsidRPr="00632A65">
        <w:rPr>
          <w:rFonts w:ascii="Arial" w:hAnsi="Arial" w:cs="Arial"/>
          <w:sz w:val="22"/>
          <w:szCs w:val="22"/>
        </w:rPr>
        <w:t xml:space="preserve">di euro </w:t>
      </w:r>
      <w:r>
        <w:rPr>
          <w:rFonts w:ascii="Arial" w:hAnsi="Arial" w:cs="Arial"/>
          <w:sz w:val="22"/>
          <w:szCs w:val="22"/>
        </w:rPr>
        <w:t xml:space="preserve">92.575,92 </w:t>
      </w:r>
      <w:r w:rsidRPr="00632A65">
        <w:rPr>
          <w:rFonts w:ascii="Arial" w:hAnsi="Arial" w:cs="Arial"/>
          <w:sz w:val="22"/>
          <w:szCs w:val="22"/>
        </w:rPr>
        <w:t>rispetto alla somma accertata con il rendiconto 2015.</w:t>
      </w:r>
    </w:p>
    <w:p w:rsidR="004F39DA" w:rsidRPr="00632A65" w:rsidRDefault="004F39DA" w:rsidP="003D76D9">
      <w:pPr>
        <w:jc w:val="both"/>
        <w:rPr>
          <w:rFonts w:ascii="Arial" w:hAnsi="Arial" w:cs="Arial"/>
          <w:sz w:val="22"/>
          <w:szCs w:val="22"/>
        </w:rPr>
      </w:pPr>
      <w:r w:rsidRPr="00632A65">
        <w:rPr>
          <w:rFonts w:ascii="Arial" w:hAnsi="Arial" w:cs="Arial"/>
          <w:sz w:val="22"/>
          <w:szCs w:val="22"/>
        </w:rPr>
        <w:t>L’ente dovrà provvedere a norma dell’art. 31, comma 19</w:t>
      </w:r>
      <w:r>
        <w:rPr>
          <w:rFonts w:ascii="Arial" w:hAnsi="Arial" w:cs="Arial"/>
          <w:sz w:val="22"/>
          <w:szCs w:val="22"/>
        </w:rPr>
        <w:t xml:space="preserve">, </w:t>
      </w:r>
      <w:r w:rsidRPr="00632A65">
        <w:rPr>
          <w:rFonts w:ascii="Arial" w:hAnsi="Arial" w:cs="Arial"/>
          <w:sz w:val="22"/>
          <w:szCs w:val="22"/>
        </w:rPr>
        <w:t xml:space="preserve">della </w:t>
      </w:r>
      <w:r>
        <w:rPr>
          <w:rFonts w:ascii="Arial" w:hAnsi="Arial" w:cs="Arial"/>
          <w:sz w:val="22"/>
          <w:szCs w:val="22"/>
        </w:rPr>
        <w:t xml:space="preserve">legge </w:t>
      </w:r>
      <w:r w:rsidRPr="00632A65">
        <w:rPr>
          <w:rFonts w:ascii="Arial" w:hAnsi="Arial" w:cs="Arial"/>
          <w:sz w:val="22"/>
          <w:szCs w:val="22"/>
        </w:rPr>
        <w:t>27/12/2002 n. 289 a comunicare ai proprietari la natura di area fabbricabile del terreno posseduto.</w:t>
      </w:r>
    </w:p>
    <w:p w:rsidR="004F39DA" w:rsidRPr="00632A65" w:rsidRDefault="004F39DA" w:rsidP="003D76D9">
      <w:pPr>
        <w:rPr>
          <w:rFonts w:ascii="Arial" w:hAnsi="Arial" w:cs="Arial"/>
        </w:rPr>
      </w:pPr>
    </w:p>
    <w:p w:rsidR="004F39DA" w:rsidRPr="00632A65" w:rsidRDefault="004F39DA" w:rsidP="003D76D9">
      <w:pPr>
        <w:rPr>
          <w:rFonts w:ascii="Arial" w:hAnsi="Arial" w:cs="Arial"/>
        </w:rPr>
      </w:pPr>
    </w:p>
    <w:p w:rsidR="004F39DA" w:rsidRPr="00632A65" w:rsidRDefault="004F39DA" w:rsidP="003D76D9">
      <w:pPr>
        <w:rPr>
          <w:rFonts w:ascii="Arial" w:hAnsi="Arial" w:cs="Arial"/>
          <w:b/>
          <w:u w:val="single"/>
        </w:rPr>
      </w:pPr>
      <w:r w:rsidRPr="00632A65">
        <w:rPr>
          <w:rFonts w:ascii="Arial" w:hAnsi="Arial" w:cs="Arial"/>
          <w:b/>
          <w:u w:val="single"/>
        </w:rPr>
        <w:t xml:space="preserve">TASI </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L’ente ha previsto nel bilancio 2016, tra le entrate tributarie la somma di euro </w:t>
      </w:r>
      <w:r>
        <w:rPr>
          <w:rFonts w:ascii="Arial" w:hAnsi="Arial" w:cs="Arial"/>
          <w:sz w:val="22"/>
          <w:szCs w:val="22"/>
        </w:rPr>
        <w:t>77.928,53</w:t>
      </w:r>
      <w:r w:rsidRPr="00632A65">
        <w:rPr>
          <w:rFonts w:ascii="Arial" w:hAnsi="Arial" w:cs="Arial"/>
          <w:sz w:val="22"/>
          <w:szCs w:val="22"/>
        </w:rPr>
        <w:t xml:space="preserve"> per il tributo sui servizi indivisibili (TASI) istituito con i commi da 669 a 681 dell’art.1 della </w:t>
      </w:r>
      <w:r>
        <w:rPr>
          <w:rFonts w:ascii="Arial" w:hAnsi="Arial" w:cs="Arial"/>
          <w:sz w:val="22"/>
          <w:szCs w:val="22"/>
        </w:rPr>
        <w:t>legge</w:t>
      </w:r>
      <w:r w:rsidRPr="00632A65">
        <w:rPr>
          <w:rFonts w:ascii="Arial" w:hAnsi="Arial" w:cs="Arial"/>
          <w:sz w:val="22"/>
          <w:szCs w:val="22"/>
        </w:rPr>
        <w:t xml:space="preserve">147/2013, con una diminuzione di  euro </w:t>
      </w:r>
      <w:r>
        <w:rPr>
          <w:rFonts w:ascii="Arial" w:hAnsi="Arial" w:cs="Arial"/>
          <w:sz w:val="22"/>
          <w:szCs w:val="22"/>
        </w:rPr>
        <w:t>92.497,09</w:t>
      </w:r>
      <w:r w:rsidRPr="00632A65">
        <w:rPr>
          <w:rFonts w:ascii="Arial" w:hAnsi="Arial" w:cs="Arial"/>
          <w:sz w:val="22"/>
          <w:szCs w:val="22"/>
        </w:rPr>
        <w:t xml:space="preserve"> rispetto alle somme accertate con il rendiconto 2015 per effetto principalmente dell’abolizione della Tasi sulla abitazione principale escluse le categorie catastati A1,A/8 e  A/9.</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L’aliquota massima complessiva dell’IMU e della TASI non supera i limiti prefissati dalla sola IMU per ciascuna tipologia di immobile come disposto dal comma 677 dell’art.1 della </w:t>
      </w:r>
      <w:r>
        <w:rPr>
          <w:rFonts w:ascii="Arial" w:hAnsi="Arial" w:cs="Arial"/>
          <w:sz w:val="22"/>
          <w:szCs w:val="22"/>
        </w:rPr>
        <w:t>legge</w:t>
      </w:r>
      <w:r w:rsidRPr="00632A65">
        <w:rPr>
          <w:rFonts w:ascii="Arial" w:hAnsi="Arial" w:cs="Arial"/>
          <w:sz w:val="22"/>
          <w:szCs w:val="22"/>
        </w:rPr>
        <w:t>147/2013.</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L’aliquota proposta per l’anno 2016 è del </w:t>
      </w:r>
      <w:r>
        <w:rPr>
          <w:rFonts w:ascii="Arial" w:hAnsi="Arial" w:cs="Arial"/>
          <w:sz w:val="22"/>
          <w:szCs w:val="22"/>
        </w:rPr>
        <w:t xml:space="preserve">2,00  per mille, senza applicazione di </w:t>
      </w:r>
      <w:r w:rsidRPr="00632A65">
        <w:rPr>
          <w:rFonts w:ascii="Arial" w:hAnsi="Arial" w:cs="Arial"/>
          <w:sz w:val="22"/>
          <w:szCs w:val="22"/>
        </w:rPr>
        <w:t>detrazioni.</w:t>
      </w:r>
    </w:p>
    <w:p w:rsidR="004F39DA" w:rsidRPr="00632A65" w:rsidRDefault="004F39DA" w:rsidP="003D76D9">
      <w:pPr>
        <w:jc w:val="both"/>
        <w:rPr>
          <w:rFonts w:ascii="Arial" w:hAnsi="Arial" w:cs="Arial"/>
          <w:sz w:val="22"/>
          <w:szCs w:val="22"/>
        </w:rPr>
      </w:pPr>
      <w:r w:rsidRPr="00632A65">
        <w:rPr>
          <w:rFonts w:ascii="Arial" w:hAnsi="Arial" w:cs="Arial"/>
          <w:sz w:val="22"/>
          <w:szCs w:val="22"/>
        </w:rPr>
        <w:t>Si richiede all’ente di inviare ai fini della loro pubblicazione le deliberazioni di approvazione delle aliquote e delle detrazioni nonché i regolamenti dell’IMU entro il termine perentorio del 14 ottobre.</w:t>
      </w:r>
    </w:p>
    <w:p w:rsidR="004F39DA" w:rsidRPr="00632A65" w:rsidRDefault="004F39DA" w:rsidP="003D76D9">
      <w:pPr>
        <w:jc w:val="both"/>
        <w:rPr>
          <w:rFonts w:ascii="Arial" w:hAnsi="Arial" w:cs="Arial"/>
          <w:sz w:val="22"/>
          <w:szCs w:val="22"/>
        </w:rPr>
      </w:pPr>
    </w:p>
    <w:p w:rsidR="004F39DA" w:rsidRPr="00632A65" w:rsidRDefault="004F39DA" w:rsidP="003D76D9">
      <w:pPr>
        <w:rPr>
          <w:rFonts w:ascii="Arial" w:hAnsi="Arial" w:cs="Arial"/>
          <w:b/>
          <w:u w:val="single"/>
        </w:rPr>
      </w:pPr>
      <w:r w:rsidRPr="00632A65">
        <w:rPr>
          <w:rFonts w:ascii="Arial" w:hAnsi="Arial" w:cs="Arial"/>
          <w:b/>
          <w:u w:val="single"/>
        </w:rPr>
        <w:t xml:space="preserve">TARI </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L’ente ha previsto nel bilancio 2016, la somma di euro </w:t>
      </w:r>
      <w:r>
        <w:rPr>
          <w:rFonts w:ascii="Arial" w:hAnsi="Arial" w:cs="Arial"/>
          <w:sz w:val="22"/>
          <w:szCs w:val="22"/>
        </w:rPr>
        <w:t xml:space="preserve">308.117,46 </w:t>
      </w:r>
      <w:r w:rsidRPr="00632A65">
        <w:rPr>
          <w:rFonts w:ascii="Arial" w:hAnsi="Arial" w:cs="Arial"/>
          <w:sz w:val="22"/>
          <w:szCs w:val="22"/>
        </w:rPr>
        <w:t>con un</w:t>
      </w:r>
      <w:r>
        <w:rPr>
          <w:rFonts w:ascii="Arial" w:hAnsi="Arial" w:cs="Arial"/>
          <w:sz w:val="22"/>
          <w:szCs w:val="22"/>
        </w:rPr>
        <w:t xml:space="preserve">a </w:t>
      </w:r>
      <w:r w:rsidRPr="00632A65">
        <w:rPr>
          <w:rFonts w:ascii="Arial" w:hAnsi="Arial" w:cs="Arial"/>
          <w:sz w:val="22"/>
          <w:szCs w:val="22"/>
        </w:rPr>
        <w:t xml:space="preserve">diminuzione di euro </w:t>
      </w:r>
      <w:r>
        <w:rPr>
          <w:rFonts w:ascii="Arial" w:hAnsi="Arial" w:cs="Arial"/>
          <w:sz w:val="22"/>
          <w:szCs w:val="22"/>
        </w:rPr>
        <w:t>6.852,76</w:t>
      </w:r>
      <w:r w:rsidRPr="00632A65">
        <w:rPr>
          <w:rFonts w:ascii="Arial" w:hAnsi="Arial" w:cs="Arial"/>
          <w:sz w:val="22"/>
          <w:szCs w:val="22"/>
        </w:rPr>
        <w:t xml:space="preserve"> rispetto al rendiconto 2015, per la tassa sui rifiuti istituita con i commi da 641 a 668 dell’art.1 della </w:t>
      </w:r>
      <w:r>
        <w:rPr>
          <w:rFonts w:ascii="Arial" w:hAnsi="Arial" w:cs="Arial"/>
          <w:sz w:val="22"/>
          <w:szCs w:val="22"/>
        </w:rPr>
        <w:t>legge</w:t>
      </w:r>
      <w:r w:rsidRPr="00632A65">
        <w:rPr>
          <w:rFonts w:ascii="Arial" w:hAnsi="Arial" w:cs="Arial"/>
          <w:sz w:val="22"/>
          <w:szCs w:val="22"/>
        </w:rPr>
        <w:t>147/2013.</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La tariffa è determinata sulla base della copertura integrale dei costi di investimento e di esercizio del servizio rifiuti ad esclusione dei costi relativi ai rifiuti speciali al cui smaltimento provvedono a proprie spese i relativi produttori comprovandone il trattamento. </w:t>
      </w:r>
    </w:p>
    <w:p w:rsidR="004F39DA" w:rsidRPr="00632A65" w:rsidRDefault="004F39DA" w:rsidP="003D76D9">
      <w:pPr>
        <w:jc w:val="both"/>
        <w:rPr>
          <w:rFonts w:ascii="Arial" w:hAnsi="Arial" w:cs="Arial"/>
          <w:sz w:val="22"/>
          <w:szCs w:val="22"/>
        </w:rPr>
      </w:pPr>
      <w:r w:rsidRPr="00632A65">
        <w:rPr>
          <w:rFonts w:ascii="Arial" w:hAnsi="Arial" w:cs="Arial"/>
          <w:sz w:val="22"/>
          <w:szCs w:val="22"/>
        </w:rPr>
        <w:t>Le modalità di commisurazione della tariffa è stata fatta sulla base del criterio medio- ordinari e non sull’effettiva quantità di rifiuti prodotti.</w:t>
      </w:r>
    </w:p>
    <w:p w:rsidR="004F39DA" w:rsidRPr="00632A65" w:rsidRDefault="004F39DA" w:rsidP="003D76D9">
      <w:pPr>
        <w:tabs>
          <w:tab w:val="left" w:pos="708"/>
        </w:tabs>
        <w:jc w:val="both"/>
        <w:rPr>
          <w:rFonts w:ascii="Arial" w:hAnsi="Arial" w:cs="Arial"/>
          <w:bCs/>
          <w:sz w:val="22"/>
          <w:szCs w:val="22"/>
        </w:rPr>
      </w:pPr>
      <w:r w:rsidRPr="00632A65">
        <w:rPr>
          <w:rFonts w:ascii="Arial" w:hAnsi="Arial" w:cs="Arial"/>
          <w:bCs/>
          <w:sz w:val="22"/>
          <w:szCs w:val="22"/>
        </w:rPr>
        <w:t xml:space="preserve">La disciplina dell´applicazione del tributo </w:t>
      </w:r>
      <w:r>
        <w:rPr>
          <w:rFonts w:ascii="Arial" w:hAnsi="Arial" w:cs="Arial"/>
          <w:bCs/>
          <w:sz w:val="22"/>
          <w:szCs w:val="22"/>
        </w:rPr>
        <w:t xml:space="preserve">è stata </w:t>
      </w:r>
      <w:r w:rsidRPr="00632A65">
        <w:rPr>
          <w:rFonts w:ascii="Arial" w:hAnsi="Arial" w:cs="Arial"/>
          <w:bCs/>
          <w:sz w:val="22"/>
          <w:szCs w:val="22"/>
        </w:rPr>
        <w:t>approvata con regolamento dal Consiglio comunale</w:t>
      </w:r>
      <w:r>
        <w:rPr>
          <w:rFonts w:ascii="Arial" w:hAnsi="Arial" w:cs="Arial"/>
          <w:bCs/>
          <w:sz w:val="22"/>
          <w:szCs w:val="22"/>
        </w:rPr>
        <w:t xml:space="preserve"> n. 15 del 30/06/2014</w:t>
      </w:r>
      <w:r w:rsidRPr="00632A65">
        <w:rPr>
          <w:rFonts w:ascii="Arial" w:hAnsi="Arial" w:cs="Arial"/>
          <w:bCs/>
          <w:sz w:val="22"/>
          <w:szCs w:val="22"/>
        </w:rPr>
        <w:t xml:space="preserve">.  </w:t>
      </w:r>
    </w:p>
    <w:p w:rsidR="004F39DA" w:rsidRDefault="004F39DA" w:rsidP="003D76D9">
      <w:pPr>
        <w:pStyle w:val="Heading3"/>
      </w:pPr>
    </w:p>
    <w:p w:rsidR="004F39DA" w:rsidRDefault="004F39DA" w:rsidP="00677F40"/>
    <w:p w:rsidR="004F39DA" w:rsidRPr="00677F40" w:rsidRDefault="004F39DA" w:rsidP="00677F40"/>
    <w:p w:rsidR="004F39DA" w:rsidRDefault="004F39DA" w:rsidP="00677F40"/>
    <w:p w:rsidR="004F39DA" w:rsidRPr="00677F40" w:rsidRDefault="004F39DA" w:rsidP="00677F40"/>
    <w:p w:rsidR="004F39DA" w:rsidRPr="00632A65" w:rsidRDefault="004F39DA" w:rsidP="003D76D9">
      <w:pPr>
        <w:rPr>
          <w:rFonts w:ascii="Arial" w:hAnsi="Arial" w:cs="Arial"/>
        </w:rPr>
      </w:pPr>
    </w:p>
    <w:p w:rsidR="004F39DA" w:rsidRPr="00632A65" w:rsidRDefault="004F39DA" w:rsidP="003D76D9">
      <w:pPr>
        <w:rPr>
          <w:rFonts w:ascii="Arial" w:hAnsi="Arial" w:cs="Arial"/>
        </w:rPr>
      </w:pPr>
      <w:r w:rsidRPr="00632A65">
        <w:rPr>
          <w:rFonts w:ascii="Arial" w:hAnsi="Arial" w:cs="Arial"/>
          <w:b/>
          <w:u w:val="single"/>
        </w:rPr>
        <w:t>T.O.S.A.P. (Tassa sull’occupazione di spazi ed aree pubbliche</w:t>
      </w:r>
      <w:r w:rsidRPr="00632A65">
        <w:rPr>
          <w:rFonts w:ascii="Arial" w:hAnsi="Arial" w:cs="Arial"/>
        </w:rPr>
        <w:t>)</w:t>
      </w:r>
    </w:p>
    <w:p w:rsidR="004F39DA" w:rsidRPr="00632A65" w:rsidRDefault="004F39DA" w:rsidP="003D76D9">
      <w:pPr>
        <w:spacing w:after="120"/>
        <w:jc w:val="both"/>
        <w:rPr>
          <w:rFonts w:ascii="Arial" w:hAnsi="Arial" w:cs="Arial"/>
          <w:sz w:val="22"/>
          <w:szCs w:val="22"/>
        </w:rPr>
      </w:pPr>
      <w:r w:rsidRPr="00632A65">
        <w:rPr>
          <w:rFonts w:ascii="Arial" w:hAnsi="Arial" w:cs="Arial"/>
          <w:sz w:val="22"/>
          <w:szCs w:val="22"/>
        </w:rPr>
        <w:t xml:space="preserve">Il gettito della tassa sull’occupazione di spazi e aree pubbliche è stato stimato in euro </w:t>
      </w:r>
      <w:r>
        <w:rPr>
          <w:rFonts w:ascii="Arial" w:hAnsi="Arial" w:cs="Arial"/>
          <w:sz w:val="22"/>
          <w:szCs w:val="22"/>
        </w:rPr>
        <w:t>9.000,00</w:t>
      </w:r>
      <w:r w:rsidRPr="00632A65">
        <w:rPr>
          <w:rFonts w:ascii="Arial" w:hAnsi="Arial" w:cs="Arial"/>
          <w:sz w:val="22"/>
          <w:szCs w:val="22"/>
        </w:rPr>
        <w:t>, con una</w:t>
      </w:r>
      <w:r>
        <w:rPr>
          <w:rFonts w:ascii="Arial" w:hAnsi="Arial" w:cs="Arial"/>
          <w:sz w:val="22"/>
          <w:szCs w:val="22"/>
        </w:rPr>
        <w:t xml:space="preserve"> </w:t>
      </w:r>
      <w:r w:rsidRPr="00632A65">
        <w:rPr>
          <w:rFonts w:ascii="Arial" w:hAnsi="Arial" w:cs="Arial"/>
          <w:sz w:val="22"/>
          <w:szCs w:val="22"/>
        </w:rPr>
        <w:t xml:space="preserve">diminuzione di euro </w:t>
      </w:r>
      <w:r>
        <w:rPr>
          <w:rFonts w:ascii="Arial" w:hAnsi="Arial" w:cs="Arial"/>
          <w:sz w:val="22"/>
          <w:szCs w:val="22"/>
        </w:rPr>
        <w:t>107,47</w:t>
      </w:r>
      <w:r w:rsidRPr="00632A65">
        <w:rPr>
          <w:rFonts w:ascii="Arial" w:hAnsi="Arial" w:cs="Arial"/>
          <w:sz w:val="22"/>
          <w:szCs w:val="22"/>
        </w:rPr>
        <w:t xml:space="preserve"> rispetto alla somma accertata con il rendiconto 2015.</w:t>
      </w:r>
    </w:p>
    <w:p w:rsidR="004F39DA" w:rsidRPr="00632A65" w:rsidRDefault="004F39DA" w:rsidP="003D76D9">
      <w:pPr>
        <w:numPr>
          <w:ilvl w:val="12"/>
          <w:numId w:val="0"/>
        </w:numPr>
        <w:rPr>
          <w:rFonts w:ascii="Arial" w:hAnsi="Arial" w:cs="Arial"/>
          <w:sz w:val="20"/>
        </w:rPr>
      </w:pPr>
    </w:p>
    <w:p w:rsidR="004F39DA" w:rsidRPr="00632A65" w:rsidRDefault="004F39DA" w:rsidP="003D76D9">
      <w:pPr>
        <w:rPr>
          <w:rFonts w:ascii="Arial" w:hAnsi="Arial" w:cs="Arial"/>
          <w:b/>
          <w:sz w:val="20"/>
          <w:u w:val="single"/>
        </w:rPr>
      </w:pPr>
    </w:p>
    <w:p w:rsidR="004F39DA" w:rsidRPr="00632A65" w:rsidRDefault="004F39DA" w:rsidP="003D76D9">
      <w:pPr>
        <w:rPr>
          <w:rFonts w:ascii="Arial" w:hAnsi="Arial" w:cs="Arial"/>
          <w:b/>
          <w:u w:val="single"/>
        </w:rPr>
      </w:pPr>
      <w:r w:rsidRPr="00632A65">
        <w:rPr>
          <w:rFonts w:ascii="Arial" w:hAnsi="Arial" w:cs="Arial"/>
          <w:b/>
          <w:u w:val="single"/>
        </w:rPr>
        <w:t>Risorse relative al recupero dell’evasione tributaria</w:t>
      </w:r>
    </w:p>
    <w:p w:rsidR="004F39DA" w:rsidRPr="00632A65" w:rsidRDefault="004F39DA" w:rsidP="003D76D9">
      <w:pPr>
        <w:rPr>
          <w:rFonts w:ascii="Arial" w:hAnsi="Arial" w:cs="Arial"/>
          <w:b/>
          <w:sz w:val="20"/>
          <w:u w:val="single"/>
        </w:rPr>
      </w:pPr>
    </w:p>
    <w:p w:rsidR="004F39DA" w:rsidRPr="00632A65" w:rsidRDefault="004F39DA" w:rsidP="003D76D9">
      <w:pPr>
        <w:rPr>
          <w:rFonts w:ascii="Arial" w:hAnsi="Arial" w:cs="Arial"/>
          <w:sz w:val="22"/>
          <w:szCs w:val="22"/>
        </w:rPr>
      </w:pPr>
      <w:r w:rsidRPr="00632A65">
        <w:rPr>
          <w:rFonts w:ascii="Arial" w:hAnsi="Arial" w:cs="Arial"/>
          <w:sz w:val="22"/>
          <w:szCs w:val="22"/>
        </w:rPr>
        <w:t>Le entrate relative all’attività di controllo delle dichiarazioni subiscono le seguenti variazioni:</w:t>
      </w:r>
    </w:p>
    <w:p w:rsidR="004F39DA" w:rsidRPr="00632A65" w:rsidRDefault="004F39DA" w:rsidP="003D76D9">
      <w:pPr>
        <w:rPr>
          <w:rFonts w:ascii="Arial" w:hAnsi="Arial" w:cs="Arial"/>
          <w:sz w:val="22"/>
          <w:szCs w:val="22"/>
        </w:rPr>
      </w:pPr>
    </w:p>
    <w:p w:rsidR="004F39DA" w:rsidRPr="00632A65" w:rsidRDefault="004F39DA" w:rsidP="006645D5">
      <w:pPr>
        <w:rPr>
          <w:rFonts w:ascii="Arial" w:hAnsi="Arial" w:cs="Arial"/>
          <w:sz w:val="22"/>
          <w:szCs w:val="22"/>
        </w:rPr>
      </w:pPr>
      <w:r w:rsidRPr="00632A65">
        <w:rPr>
          <w:rFonts w:ascii="Arial" w:hAnsi="Arial" w:cs="Arial"/>
          <w:sz w:val="22"/>
          <w:szCs w:val="22"/>
        </w:rPr>
        <w:object w:dxaOrig="8479" w:dyaOrig="2343">
          <v:shape id="_x0000_i1034" type="#_x0000_t75" style="width:445.5pt;height:123pt" o:ole="">
            <v:imagedata r:id="rId30" o:title=""/>
          </v:shape>
          <o:OLEObject Type="Embed" ProgID="Excel.Sheet.12" ShapeID="_x0000_i1034" DrawAspect="Content" ObjectID="_1547456136" r:id="rId31"/>
        </w:object>
      </w:r>
    </w:p>
    <w:p w:rsidR="004F39DA" w:rsidRPr="00632A65" w:rsidRDefault="004F39DA" w:rsidP="003D76D9">
      <w:pPr>
        <w:rPr>
          <w:rFonts w:ascii="Arial" w:hAnsi="Arial" w:cs="Arial"/>
          <w:sz w:val="22"/>
          <w:szCs w:val="22"/>
        </w:rPr>
      </w:pPr>
    </w:p>
    <w:p w:rsidR="004F39DA" w:rsidRPr="00632A65" w:rsidRDefault="004F39DA" w:rsidP="00927FBD">
      <w:pPr>
        <w:tabs>
          <w:tab w:val="left" w:pos="2362"/>
        </w:tabs>
        <w:rPr>
          <w:rFonts w:ascii="Arial" w:hAnsi="Arial" w:cs="Arial"/>
        </w:rPr>
      </w:pPr>
      <w:r>
        <w:rPr>
          <w:rFonts w:ascii="Arial" w:hAnsi="Arial" w:cs="Arial"/>
        </w:rPr>
        <w:tab/>
      </w:r>
    </w:p>
    <w:p w:rsidR="004F39DA" w:rsidRPr="00632A65" w:rsidRDefault="004F39DA" w:rsidP="003D76D9">
      <w:pPr>
        <w:rPr>
          <w:rFonts w:ascii="Arial" w:hAnsi="Arial" w:cs="Arial"/>
          <w:b/>
          <w:u w:val="single"/>
        </w:rPr>
      </w:pPr>
      <w:r w:rsidRPr="00632A65">
        <w:rPr>
          <w:rFonts w:ascii="Arial" w:hAnsi="Arial" w:cs="Arial"/>
          <w:b/>
          <w:u w:val="single"/>
        </w:rPr>
        <w:t>Trasferimenti correnti dallo Stato</w:t>
      </w:r>
    </w:p>
    <w:p w:rsidR="004F39DA" w:rsidRPr="00632A65" w:rsidRDefault="004F39DA" w:rsidP="003D76D9">
      <w:pPr>
        <w:jc w:val="both"/>
        <w:rPr>
          <w:rFonts w:ascii="Arial" w:hAnsi="Arial" w:cs="Arial"/>
          <w:sz w:val="20"/>
        </w:rPr>
      </w:pPr>
      <w:r w:rsidRPr="00632A65">
        <w:rPr>
          <w:rFonts w:ascii="Arial" w:hAnsi="Arial" w:cs="Arial"/>
          <w:sz w:val="22"/>
          <w:szCs w:val="22"/>
        </w:rPr>
        <w:t>Il gettito dei trasferimenti erariali è stato previsto sulla base della comunicazione del Ministero dell’Interno</w:t>
      </w:r>
      <w:r>
        <w:rPr>
          <w:rFonts w:ascii="Arial" w:hAnsi="Arial" w:cs="Arial"/>
          <w:sz w:val="22"/>
          <w:szCs w:val="22"/>
        </w:rPr>
        <w:t>, come riportato sul sito internet</w:t>
      </w:r>
      <w:r w:rsidRPr="006645D5">
        <w:rPr>
          <w:rFonts w:ascii="Arial" w:hAnsi="Arial" w:cs="Arial"/>
          <w:i/>
          <w:color w:val="4B89C7"/>
          <w:sz w:val="20"/>
          <w:szCs w:val="20"/>
        </w:rPr>
        <w:t>.</w:t>
      </w:r>
      <w:r w:rsidRPr="00632A65">
        <w:rPr>
          <w:rFonts w:ascii="Arial" w:hAnsi="Arial" w:cs="Arial"/>
          <w:sz w:val="20"/>
        </w:rPr>
        <w:t xml:space="preserve"> </w:t>
      </w:r>
    </w:p>
    <w:p w:rsidR="004F39DA" w:rsidRPr="00632A65" w:rsidRDefault="004F39DA" w:rsidP="003D76D9">
      <w:pPr>
        <w:jc w:val="both"/>
        <w:rPr>
          <w:rFonts w:ascii="Arial" w:hAnsi="Arial" w:cs="Arial"/>
          <w:sz w:val="20"/>
        </w:rPr>
      </w:pPr>
    </w:p>
    <w:p w:rsidR="004F39DA" w:rsidRPr="00632A65" w:rsidRDefault="004F39DA" w:rsidP="003D76D9">
      <w:pPr>
        <w:jc w:val="both"/>
        <w:rPr>
          <w:rFonts w:ascii="Arial" w:hAnsi="Arial" w:cs="Arial"/>
          <w:sz w:val="20"/>
        </w:rPr>
      </w:pPr>
    </w:p>
    <w:p w:rsidR="004F39DA" w:rsidRDefault="004F39DA" w:rsidP="003D76D9">
      <w:pPr>
        <w:numPr>
          <w:ilvl w:val="12"/>
          <w:numId w:val="0"/>
        </w:numPr>
        <w:jc w:val="both"/>
        <w:rPr>
          <w:rFonts w:ascii="Arial" w:hAnsi="Arial" w:cs="Arial"/>
          <w:b/>
          <w:u w:val="single"/>
        </w:rPr>
      </w:pPr>
      <w:r w:rsidRPr="00632A65">
        <w:rPr>
          <w:rFonts w:ascii="Arial" w:hAnsi="Arial" w:cs="Arial"/>
          <w:b/>
          <w:u w:val="single"/>
        </w:rPr>
        <w:t xml:space="preserve">Trasferimenti </w:t>
      </w:r>
      <w:r>
        <w:rPr>
          <w:rFonts w:ascii="Arial" w:hAnsi="Arial" w:cs="Arial"/>
          <w:b/>
          <w:u w:val="single"/>
        </w:rPr>
        <w:t>da amministrazioni centrali</w:t>
      </w:r>
    </w:p>
    <w:p w:rsidR="004F39DA" w:rsidRPr="00632A65" w:rsidRDefault="004F39DA" w:rsidP="003D76D9">
      <w:pPr>
        <w:numPr>
          <w:ilvl w:val="12"/>
          <w:numId w:val="0"/>
        </w:numPr>
        <w:jc w:val="both"/>
        <w:rPr>
          <w:rFonts w:ascii="Arial" w:hAnsi="Arial" w:cs="Arial"/>
          <w:sz w:val="22"/>
          <w:szCs w:val="22"/>
        </w:rPr>
      </w:pPr>
      <w:r w:rsidRPr="00632A65">
        <w:rPr>
          <w:rFonts w:ascii="Arial" w:hAnsi="Arial" w:cs="Arial"/>
          <w:sz w:val="22"/>
          <w:szCs w:val="22"/>
        </w:rPr>
        <w:t xml:space="preserve">I </w:t>
      </w:r>
      <w:r>
        <w:rPr>
          <w:rFonts w:ascii="Arial" w:hAnsi="Arial" w:cs="Arial"/>
          <w:sz w:val="22"/>
          <w:szCs w:val="22"/>
        </w:rPr>
        <w:t xml:space="preserve">trasferimenti </w:t>
      </w:r>
      <w:r w:rsidRPr="00632A65">
        <w:rPr>
          <w:rFonts w:ascii="Arial" w:hAnsi="Arial" w:cs="Arial"/>
          <w:sz w:val="22"/>
          <w:szCs w:val="22"/>
        </w:rPr>
        <w:t xml:space="preserve">sono previsti in euro </w:t>
      </w:r>
      <w:r>
        <w:rPr>
          <w:rFonts w:ascii="Arial" w:hAnsi="Arial" w:cs="Arial"/>
          <w:sz w:val="22"/>
          <w:szCs w:val="22"/>
        </w:rPr>
        <w:t xml:space="preserve">17.975,73 </w:t>
      </w:r>
      <w:r w:rsidRPr="00632A65">
        <w:rPr>
          <w:rFonts w:ascii="Arial" w:hAnsi="Arial" w:cs="Arial"/>
          <w:sz w:val="22"/>
          <w:szCs w:val="22"/>
        </w:rPr>
        <w:t>e sono specificatamente destinati per uguale importo nella spesa.</w:t>
      </w:r>
    </w:p>
    <w:p w:rsidR="004F39DA" w:rsidRDefault="004F39DA" w:rsidP="003D76D9">
      <w:pPr>
        <w:numPr>
          <w:ilvl w:val="12"/>
          <w:numId w:val="0"/>
        </w:numPr>
        <w:jc w:val="both"/>
        <w:rPr>
          <w:rFonts w:ascii="Arial" w:hAnsi="Arial" w:cs="Arial"/>
          <w:sz w:val="20"/>
        </w:rPr>
      </w:pPr>
    </w:p>
    <w:p w:rsidR="004F39DA" w:rsidRDefault="004F39DA" w:rsidP="00927FBD">
      <w:pPr>
        <w:numPr>
          <w:ilvl w:val="12"/>
          <w:numId w:val="0"/>
        </w:numPr>
        <w:jc w:val="both"/>
        <w:rPr>
          <w:rFonts w:ascii="Arial" w:hAnsi="Arial" w:cs="Arial"/>
          <w:b/>
          <w:u w:val="single"/>
        </w:rPr>
      </w:pPr>
      <w:r w:rsidRPr="00632A65">
        <w:rPr>
          <w:rFonts w:ascii="Arial" w:hAnsi="Arial" w:cs="Arial"/>
          <w:b/>
          <w:u w:val="single"/>
        </w:rPr>
        <w:t xml:space="preserve">Trasferimenti </w:t>
      </w:r>
      <w:r>
        <w:rPr>
          <w:rFonts w:ascii="Arial" w:hAnsi="Arial" w:cs="Arial"/>
          <w:b/>
          <w:u w:val="single"/>
        </w:rPr>
        <w:t>da amministrazioni locali</w:t>
      </w:r>
    </w:p>
    <w:p w:rsidR="004F39DA" w:rsidRPr="00632A65" w:rsidRDefault="004F39DA" w:rsidP="00927FBD">
      <w:pPr>
        <w:numPr>
          <w:ilvl w:val="12"/>
          <w:numId w:val="0"/>
        </w:numPr>
        <w:jc w:val="both"/>
        <w:rPr>
          <w:rFonts w:ascii="Arial" w:hAnsi="Arial" w:cs="Arial"/>
          <w:sz w:val="22"/>
          <w:szCs w:val="22"/>
        </w:rPr>
      </w:pPr>
      <w:r w:rsidRPr="00632A65">
        <w:rPr>
          <w:rFonts w:ascii="Arial" w:hAnsi="Arial" w:cs="Arial"/>
          <w:sz w:val="22"/>
          <w:szCs w:val="22"/>
        </w:rPr>
        <w:t xml:space="preserve">I </w:t>
      </w:r>
      <w:r>
        <w:rPr>
          <w:rFonts w:ascii="Arial" w:hAnsi="Arial" w:cs="Arial"/>
          <w:sz w:val="22"/>
          <w:szCs w:val="22"/>
        </w:rPr>
        <w:t xml:space="preserve">trasferimenti </w:t>
      </w:r>
      <w:r w:rsidRPr="00632A65">
        <w:rPr>
          <w:rFonts w:ascii="Arial" w:hAnsi="Arial" w:cs="Arial"/>
          <w:sz w:val="22"/>
          <w:szCs w:val="22"/>
        </w:rPr>
        <w:t xml:space="preserve">sono previsti in euro </w:t>
      </w:r>
      <w:r>
        <w:rPr>
          <w:rFonts w:ascii="Arial" w:hAnsi="Arial" w:cs="Arial"/>
          <w:sz w:val="22"/>
          <w:szCs w:val="22"/>
        </w:rPr>
        <w:t xml:space="preserve">1.801.995,90 </w:t>
      </w:r>
      <w:r w:rsidRPr="00632A65">
        <w:rPr>
          <w:rFonts w:ascii="Arial" w:hAnsi="Arial" w:cs="Arial"/>
          <w:sz w:val="22"/>
          <w:szCs w:val="22"/>
        </w:rPr>
        <w:t>e sono specificatamente destinati per uguale importo nella spesa.</w:t>
      </w:r>
    </w:p>
    <w:p w:rsidR="004F39DA" w:rsidRPr="00632A65" w:rsidRDefault="004F39DA" w:rsidP="003D76D9">
      <w:pPr>
        <w:numPr>
          <w:ilvl w:val="12"/>
          <w:numId w:val="0"/>
        </w:numPr>
        <w:jc w:val="both"/>
        <w:rPr>
          <w:rFonts w:ascii="Arial" w:hAnsi="Arial" w:cs="Arial"/>
          <w:sz w:val="20"/>
        </w:rPr>
      </w:pPr>
    </w:p>
    <w:p w:rsidR="004F39DA" w:rsidRPr="00632A65" w:rsidRDefault="004F39DA" w:rsidP="003D76D9">
      <w:pPr>
        <w:rPr>
          <w:rFonts w:ascii="Arial" w:hAnsi="Arial" w:cs="Arial"/>
          <w:b/>
          <w:u w:val="single"/>
        </w:rPr>
      </w:pPr>
      <w:r w:rsidRPr="00632A65">
        <w:rPr>
          <w:rFonts w:ascii="Arial" w:hAnsi="Arial" w:cs="Arial"/>
          <w:b/>
          <w:u w:val="single"/>
        </w:rPr>
        <w:t>Proventi dei servizi pubblici</w:t>
      </w:r>
    </w:p>
    <w:p w:rsidR="004F39DA" w:rsidRPr="00632A65" w:rsidRDefault="004F39DA" w:rsidP="003D76D9">
      <w:pPr>
        <w:pStyle w:val="Corpodeltesto21"/>
        <w:numPr>
          <w:ilvl w:val="12"/>
          <w:numId w:val="0"/>
        </w:numPr>
        <w:rPr>
          <w:rFonts w:cs="Arial"/>
          <w:b w:val="0"/>
          <w:i w:val="0"/>
          <w:sz w:val="22"/>
          <w:szCs w:val="22"/>
        </w:rPr>
      </w:pPr>
      <w:r w:rsidRPr="00632A65">
        <w:rPr>
          <w:rFonts w:cs="Arial"/>
          <w:b w:val="0"/>
          <w:i w:val="0"/>
          <w:sz w:val="22"/>
          <w:szCs w:val="22"/>
        </w:rPr>
        <w:t>Il dettaglio delle previsioni di proventi e costi dei servizi dell’ente dei servizi a domanda individuale è il seguente:</w:t>
      </w:r>
    </w:p>
    <w:p w:rsidR="004F39DA" w:rsidRPr="00632A65" w:rsidRDefault="004F39DA" w:rsidP="003D76D9">
      <w:pPr>
        <w:pStyle w:val="Corpodeltesto21"/>
        <w:numPr>
          <w:ilvl w:val="12"/>
          <w:numId w:val="0"/>
        </w:numPr>
        <w:rPr>
          <w:rFonts w:cs="Arial"/>
          <w:b w:val="0"/>
          <w:i w:val="0"/>
          <w:sz w:val="22"/>
          <w:szCs w:val="22"/>
        </w:rPr>
      </w:pPr>
      <w:r w:rsidRPr="00632A65">
        <w:rPr>
          <w:rFonts w:cs="Arial"/>
          <w:b w:val="0"/>
          <w:i w:val="0"/>
          <w:sz w:val="22"/>
          <w:szCs w:val="22"/>
        </w:rPr>
        <w:object w:dxaOrig="6754" w:dyaOrig="2386">
          <v:shape id="_x0000_i1035" type="#_x0000_t75" style="width:334.5pt;height:119.25pt" o:ole="">
            <v:imagedata r:id="rId32" o:title=""/>
          </v:shape>
          <o:OLEObject Type="Embed" ProgID="Excel.Sheet.12" ShapeID="_x0000_i1035" DrawAspect="Content" ObjectID="_1547456137" r:id="rId33"/>
        </w:object>
      </w:r>
    </w:p>
    <w:p w:rsidR="004F39DA" w:rsidRPr="00632A65" w:rsidRDefault="004F39DA" w:rsidP="003D76D9">
      <w:pPr>
        <w:numPr>
          <w:ilvl w:val="12"/>
          <w:numId w:val="0"/>
        </w:numPr>
        <w:jc w:val="both"/>
        <w:rPr>
          <w:rFonts w:ascii="Arial" w:hAnsi="Arial" w:cs="Arial"/>
          <w:sz w:val="20"/>
        </w:rPr>
      </w:pPr>
    </w:p>
    <w:p w:rsidR="004F39DA" w:rsidRPr="00632A65" w:rsidRDefault="004F39DA" w:rsidP="003D76D9">
      <w:pPr>
        <w:numPr>
          <w:ilvl w:val="12"/>
          <w:numId w:val="0"/>
        </w:numPr>
        <w:jc w:val="both"/>
        <w:rPr>
          <w:rFonts w:ascii="Arial" w:hAnsi="Arial" w:cs="Arial"/>
          <w:sz w:val="22"/>
          <w:szCs w:val="22"/>
        </w:rPr>
      </w:pPr>
      <w:r w:rsidRPr="00632A65">
        <w:rPr>
          <w:rFonts w:ascii="Arial" w:hAnsi="Arial" w:cs="Arial"/>
          <w:sz w:val="22"/>
          <w:szCs w:val="22"/>
        </w:rPr>
        <w:t xml:space="preserve">L’organo esecutivo con deliberazione n. </w:t>
      </w:r>
      <w:r>
        <w:rPr>
          <w:rFonts w:ascii="Arial" w:hAnsi="Arial" w:cs="Arial"/>
          <w:sz w:val="22"/>
          <w:szCs w:val="22"/>
        </w:rPr>
        <w:t xml:space="preserve">25 </w:t>
      </w:r>
      <w:r w:rsidRPr="00632A65">
        <w:rPr>
          <w:rFonts w:ascii="Arial" w:hAnsi="Arial" w:cs="Arial"/>
          <w:sz w:val="22"/>
          <w:szCs w:val="22"/>
        </w:rPr>
        <w:t xml:space="preserve">del </w:t>
      </w:r>
      <w:r>
        <w:rPr>
          <w:rFonts w:ascii="Arial" w:hAnsi="Arial" w:cs="Arial"/>
          <w:sz w:val="22"/>
          <w:szCs w:val="22"/>
        </w:rPr>
        <w:t>08/04/2016</w:t>
      </w:r>
      <w:r w:rsidRPr="00632A65">
        <w:rPr>
          <w:rFonts w:ascii="Arial" w:hAnsi="Arial" w:cs="Arial"/>
          <w:sz w:val="22"/>
          <w:szCs w:val="22"/>
        </w:rPr>
        <w:t xml:space="preserve">, allegata al bilancio, ha determinato la percentuale complessiva di copertura dei servizi a domanda individuale nella misura del </w:t>
      </w:r>
      <w:r>
        <w:rPr>
          <w:rFonts w:ascii="Arial" w:hAnsi="Arial" w:cs="Arial"/>
          <w:sz w:val="22"/>
          <w:szCs w:val="22"/>
        </w:rPr>
        <w:t>40,20</w:t>
      </w:r>
      <w:r w:rsidRPr="00632A65">
        <w:rPr>
          <w:rFonts w:ascii="Arial" w:hAnsi="Arial" w:cs="Arial"/>
          <w:sz w:val="22"/>
          <w:szCs w:val="22"/>
        </w:rPr>
        <w:t xml:space="preserve"> %.</w:t>
      </w:r>
    </w:p>
    <w:p w:rsidR="004F39DA" w:rsidRPr="00632A65" w:rsidRDefault="004F39DA" w:rsidP="003D76D9">
      <w:pPr>
        <w:numPr>
          <w:ilvl w:val="12"/>
          <w:numId w:val="0"/>
        </w:numPr>
        <w:jc w:val="both"/>
        <w:rPr>
          <w:rFonts w:ascii="Arial" w:hAnsi="Arial" w:cs="Arial"/>
          <w:b/>
          <w:color w:val="FF0000"/>
          <w:sz w:val="22"/>
          <w:szCs w:val="22"/>
        </w:rPr>
      </w:pPr>
    </w:p>
    <w:p w:rsidR="004F39DA" w:rsidRDefault="004F39DA" w:rsidP="003D76D9">
      <w:pPr>
        <w:numPr>
          <w:ilvl w:val="12"/>
          <w:numId w:val="0"/>
        </w:numPr>
        <w:jc w:val="both"/>
        <w:rPr>
          <w:rFonts w:ascii="Arial" w:hAnsi="Arial" w:cs="Arial"/>
          <w:sz w:val="22"/>
          <w:szCs w:val="22"/>
        </w:rPr>
      </w:pPr>
      <w:r>
        <w:rPr>
          <w:rFonts w:ascii="Arial" w:hAnsi="Arial" w:cs="Arial"/>
          <w:sz w:val="22"/>
          <w:szCs w:val="22"/>
        </w:rPr>
        <w:t>Il Revisore dei Conti</w:t>
      </w:r>
      <w:r w:rsidRPr="00632A65">
        <w:rPr>
          <w:rFonts w:ascii="Arial" w:hAnsi="Arial" w:cs="Arial"/>
          <w:sz w:val="22"/>
          <w:szCs w:val="22"/>
        </w:rPr>
        <w:t xml:space="preserve"> prende atto che l’ente </w:t>
      </w:r>
      <w:r w:rsidRPr="00632A65">
        <w:rPr>
          <w:rFonts w:ascii="Arial" w:hAnsi="Arial" w:cs="Arial"/>
          <w:i/>
          <w:color w:val="365F91"/>
          <w:sz w:val="22"/>
          <w:szCs w:val="22"/>
        </w:rPr>
        <w:t>ha</w:t>
      </w:r>
      <w:r w:rsidRPr="00632A65">
        <w:rPr>
          <w:rFonts w:ascii="Arial" w:hAnsi="Arial" w:cs="Arial"/>
          <w:color w:val="365F91"/>
          <w:sz w:val="22"/>
          <w:szCs w:val="22"/>
        </w:rPr>
        <w:t xml:space="preserve"> </w:t>
      </w:r>
      <w:r w:rsidRPr="00632A65">
        <w:rPr>
          <w:rFonts w:ascii="Arial" w:hAnsi="Arial" w:cs="Arial"/>
          <w:sz w:val="22"/>
          <w:szCs w:val="22"/>
        </w:rPr>
        <w:t>provveduto ad adeguare le seguenti tariffe:</w:t>
      </w:r>
    </w:p>
    <w:p w:rsidR="004F39DA" w:rsidRPr="00E11CA8" w:rsidRDefault="004F39DA" w:rsidP="00E11CA8">
      <w:pPr>
        <w:pStyle w:val="ListParagraph"/>
        <w:numPr>
          <w:ilvl w:val="0"/>
          <w:numId w:val="2"/>
        </w:numPr>
        <w:jc w:val="both"/>
        <w:rPr>
          <w:rFonts w:ascii="Arial" w:hAnsi="Arial" w:cs="Arial"/>
          <w:sz w:val="22"/>
          <w:szCs w:val="22"/>
        </w:rPr>
      </w:pPr>
      <w:r w:rsidRPr="00E11CA8">
        <w:rPr>
          <w:rFonts w:ascii="Arial" w:hAnsi="Arial" w:cs="Arial"/>
          <w:sz w:val="22"/>
          <w:szCs w:val="22"/>
        </w:rPr>
        <w:t>museo – deliberazione GC n. 21 del 08/04/2016;</w:t>
      </w:r>
    </w:p>
    <w:p w:rsidR="004F39DA" w:rsidRPr="00E11CA8" w:rsidRDefault="004F39DA" w:rsidP="00E11CA8">
      <w:pPr>
        <w:pStyle w:val="ListParagraph"/>
        <w:numPr>
          <w:ilvl w:val="0"/>
          <w:numId w:val="2"/>
        </w:numPr>
        <w:jc w:val="both"/>
        <w:rPr>
          <w:rFonts w:ascii="Arial" w:hAnsi="Arial" w:cs="Arial"/>
          <w:sz w:val="22"/>
          <w:szCs w:val="22"/>
        </w:rPr>
      </w:pPr>
      <w:r>
        <w:rPr>
          <w:rFonts w:ascii="Arial" w:hAnsi="Arial" w:cs="Arial"/>
          <w:sz w:val="22"/>
          <w:szCs w:val="22"/>
        </w:rPr>
        <w:t>mense scolastiche – deliberazione GC n. 18 del 25/03/2016.</w:t>
      </w:r>
    </w:p>
    <w:p w:rsidR="004F39DA" w:rsidRPr="00632A65" w:rsidRDefault="004F39DA" w:rsidP="003D76D9">
      <w:pPr>
        <w:numPr>
          <w:ilvl w:val="12"/>
          <w:numId w:val="0"/>
        </w:numPr>
        <w:jc w:val="both"/>
        <w:rPr>
          <w:rFonts w:ascii="Arial" w:hAnsi="Arial" w:cs="Arial"/>
          <w:sz w:val="22"/>
          <w:szCs w:val="22"/>
        </w:rPr>
      </w:pPr>
    </w:p>
    <w:p w:rsidR="004F39DA" w:rsidRPr="005938FA" w:rsidRDefault="004F39DA" w:rsidP="003D76D9">
      <w:pPr>
        <w:numPr>
          <w:ilvl w:val="12"/>
          <w:numId w:val="0"/>
        </w:numPr>
        <w:jc w:val="both"/>
        <w:rPr>
          <w:rFonts w:ascii="Arial" w:hAnsi="Arial" w:cs="Arial"/>
          <w:sz w:val="22"/>
          <w:szCs w:val="22"/>
        </w:rPr>
      </w:pPr>
      <w:r w:rsidRPr="005938FA">
        <w:rPr>
          <w:rFonts w:ascii="Arial" w:hAnsi="Arial" w:cs="Arial"/>
          <w:sz w:val="22"/>
          <w:szCs w:val="22"/>
        </w:rPr>
        <w:t xml:space="preserve">Il fondo crediti di dubbia esigibilità per tali entrate è previsto in euro 1.009,62 pari al </w:t>
      </w:r>
      <w:r>
        <w:rPr>
          <w:rFonts w:ascii="Arial" w:hAnsi="Arial" w:cs="Arial"/>
          <w:sz w:val="22"/>
          <w:szCs w:val="22"/>
        </w:rPr>
        <w:t>12,73</w:t>
      </w:r>
      <w:r w:rsidRPr="005938FA">
        <w:rPr>
          <w:rFonts w:ascii="Arial" w:hAnsi="Arial" w:cs="Arial"/>
          <w:sz w:val="22"/>
          <w:szCs w:val="22"/>
        </w:rPr>
        <w:t>%</w:t>
      </w:r>
    </w:p>
    <w:p w:rsidR="004F39DA" w:rsidRPr="00632A65" w:rsidRDefault="004F39DA" w:rsidP="003D76D9">
      <w:pPr>
        <w:numPr>
          <w:ilvl w:val="12"/>
          <w:numId w:val="0"/>
        </w:numPr>
        <w:jc w:val="both"/>
        <w:rPr>
          <w:rFonts w:ascii="Arial" w:hAnsi="Arial" w:cs="Arial"/>
          <w:sz w:val="22"/>
          <w:szCs w:val="22"/>
        </w:rPr>
      </w:pPr>
      <w:r w:rsidRPr="005938FA">
        <w:rPr>
          <w:rFonts w:ascii="Arial" w:hAnsi="Arial" w:cs="Arial"/>
          <w:sz w:val="22"/>
          <w:szCs w:val="22"/>
        </w:rPr>
        <w:t>La previsione è fondata sulle base delle rette e contribuzioni deliberate (o proposte) per l’anno 2016 e sulla applicazione per i servizi scolastici e sociali del sistema tariffario di cui al DPCM 159/2013 (ISEE).</w:t>
      </w:r>
    </w:p>
    <w:p w:rsidR="004F39DA" w:rsidRPr="00632A65" w:rsidRDefault="004F39DA" w:rsidP="003D76D9">
      <w:pPr>
        <w:numPr>
          <w:ilvl w:val="12"/>
          <w:numId w:val="0"/>
        </w:numPr>
        <w:jc w:val="both"/>
        <w:rPr>
          <w:rFonts w:ascii="Arial" w:hAnsi="Arial" w:cs="Arial"/>
          <w:sz w:val="22"/>
          <w:szCs w:val="22"/>
        </w:rPr>
      </w:pPr>
    </w:p>
    <w:p w:rsidR="004F39DA" w:rsidRPr="00632A65" w:rsidRDefault="004F39DA" w:rsidP="003D76D9">
      <w:pPr>
        <w:numPr>
          <w:ilvl w:val="12"/>
          <w:numId w:val="0"/>
        </w:numPr>
        <w:rPr>
          <w:rFonts w:ascii="Arial" w:hAnsi="Arial" w:cs="Arial"/>
          <w:sz w:val="20"/>
        </w:rPr>
      </w:pPr>
    </w:p>
    <w:p w:rsidR="004F39DA" w:rsidRPr="00632A65" w:rsidRDefault="004F39DA" w:rsidP="003D76D9">
      <w:pPr>
        <w:rPr>
          <w:rFonts w:ascii="Arial" w:hAnsi="Arial" w:cs="Arial"/>
          <w:b/>
          <w:u w:val="single"/>
        </w:rPr>
      </w:pPr>
      <w:r w:rsidRPr="00632A65">
        <w:rPr>
          <w:rFonts w:ascii="Arial" w:hAnsi="Arial" w:cs="Arial"/>
          <w:b/>
          <w:u w:val="single"/>
        </w:rPr>
        <w:t>Sanzioni amministrative da codice della strada</w:t>
      </w:r>
    </w:p>
    <w:p w:rsidR="004F39DA" w:rsidRPr="00632A65" w:rsidRDefault="004F39DA" w:rsidP="003D76D9">
      <w:pPr>
        <w:numPr>
          <w:ilvl w:val="12"/>
          <w:numId w:val="0"/>
        </w:numPr>
        <w:spacing w:after="120"/>
        <w:jc w:val="both"/>
        <w:rPr>
          <w:rFonts w:ascii="Arial" w:hAnsi="Arial" w:cs="Arial"/>
          <w:sz w:val="22"/>
          <w:szCs w:val="22"/>
        </w:rPr>
      </w:pPr>
      <w:r w:rsidRPr="00632A65">
        <w:rPr>
          <w:rFonts w:ascii="Arial" w:hAnsi="Arial" w:cs="Arial"/>
          <w:sz w:val="22"/>
          <w:szCs w:val="22"/>
        </w:rPr>
        <w:t>I proventi da sanzioni amministrative sono previsti per il 2016 in:</w:t>
      </w:r>
    </w:p>
    <w:p w:rsidR="004F39DA" w:rsidRPr="00632A65" w:rsidRDefault="004F39DA" w:rsidP="003D76D9">
      <w:pPr>
        <w:numPr>
          <w:ilvl w:val="12"/>
          <w:numId w:val="0"/>
        </w:numPr>
        <w:spacing w:after="120"/>
        <w:jc w:val="both"/>
        <w:rPr>
          <w:rFonts w:ascii="Arial" w:hAnsi="Arial" w:cs="Arial"/>
          <w:sz w:val="22"/>
          <w:szCs w:val="22"/>
        </w:rPr>
      </w:pPr>
      <w:r w:rsidRPr="00632A65">
        <w:rPr>
          <w:rFonts w:ascii="Arial" w:hAnsi="Arial" w:cs="Arial"/>
          <w:sz w:val="22"/>
          <w:szCs w:val="22"/>
        </w:rPr>
        <w:t>-</w:t>
      </w:r>
      <w:r>
        <w:rPr>
          <w:rFonts w:ascii="Arial" w:hAnsi="Arial" w:cs="Arial"/>
          <w:sz w:val="22"/>
          <w:szCs w:val="22"/>
        </w:rPr>
        <w:t xml:space="preserve"> </w:t>
      </w:r>
      <w:r w:rsidRPr="00632A65">
        <w:rPr>
          <w:rFonts w:ascii="Arial" w:hAnsi="Arial" w:cs="Arial"/>
          <w:sz w:val="22"/>
          <w:szCs w:val="22"/>
        </w:rPr>
        <w:t xml:space="preserve">euro </w:t>
      </w:r>
      <w:r>
        <w:rPr>
          <w:rFonts w:ascii="Arial" w:hAnsi="Arial" w:cs="Arial"/>
          <w:sz w:val="22"/>
          <w:szCs w:val="22"/>
        </w:rPr>
        <w:t>800,00</w:t>
      </w:r>
      <w:r w:rsidRPr="00632A65">
        <w:rPr>
          <w:rFonts w:ascii="Arial" w:hAnsi="Arial" w:cs="Arial"/>
          <w:sz w:val="22"/>
          <w:szCs w:val="22"/>
        </w:rPr>
        <w:t xml:space="preserve"> per le sanzioni ex art.</w:t>
      </w:r>
      <w:r>
        <w:rPr>
          <w:rFonts w:ascii="Arial" w:hAnsi="Arial" w:cs="Arial"/>
          <w:sz w:val="22"/>
          <w:szCs w:val="22"/>
        </w:rPr>
        <w:t xml:space="preserve"> </w:t>
      </w:r>
      <w:r w:rsidRPr="00632A65">
        <w:rPr>
          <w:rFonts w:ascii="Arial" w:hAnsi="Arial" w:cs="Arial"/>
          <w:sz w:val="22"/>
          <w:szCs w:val="22"/>
        </w:rPr>
        <w:t>208 comma 1 Cds;</w:t>
      </w:r>
    </w:p>
    <w:p w:rsidR="004F39DA" w:rsidRDefault="004F39DA" w:rsidP="003D76D9">
      <w:pPr>
        <w:numPr>
          <w:ilvl w:val="12"/>
          <w:numId w:val="0"/>
        </w:numPr>
        <w:spacing w:after="120"/>
        <w:jc w:val="both"/>
        <w:rPr>
          <w:rFonts w:ascii="Arial" w:hAnsi="Arial" w:cs="Arial"/>
          <w:sz w:val="22"/>
          <w:szCs w:val="22"/>
        </w:rPr>
      </w:pPr>
    </w:p>
    <w:p w:rsidR="004F39DA" w:rsidRPr="00632A65" w:rsidRDefault="004F39DA" w:rsidP="003D76D9">
      <w:pPr>
        <w:numPr>
          <w:ilvl w:val="12"/>
          <w:numId w:val="0"/>
        </w:numPr>
        <w:spacing w:after="120"/>
        <w:jc w:val="both"/>
        <w:rPr>
          <w:rFonts w:ascii="Arial" w:hAnsi="Arial" w:cs="Arial"/>
          <w:sz w:val="22"/>
          <w:szCs w:val="22"/>
        </w:rPr>
      </w:pPr>
      <w:r w:rsidRPr="00632A65">
        <w:rPr>
          <w:rFonts w:ascii="Arial" w:hAnsi="Arial" w:cs="Arial"/>
          <w:sz w:val="22"/>
          <w:szCs w:val="22"/>
        </w:rPr>
        <w:t xml:space="preserve">Il fondo crediti di dubbia esigibilità è previsto per euro </w:t>
      </w:r>
      <w:r>
        <w:rPr>
          <w:rFonts w:ascii="Arial" w:hAnsi="Arial" w:cs="Arial"/>
          <w:sz w:val="22"/>
          <w:szCs w:val="22"/>
        </w:rPr>
        <w:t>63,66</w:t>
      </w:r>
      <w:r w:rsidRPr="00632A65">
        <w:rPr>
          <w:rFonts w:ascii="Arial" w:hAnsi="Arial" w:cs="Arial"/>
          <w:sz w:val="22"/>
          <w:szCs w:val="22"/>
        </w:rPr>
        <w:t xml:space="preserve"> pari al</w:t>
      </w:r>
      <w:r>
        <w:rPr>
          <w:rFonts w:ascii="Arial" w:hAnsi="Arial" w:cs="Arial"/>
          <w:sz w:val="22"/>
          <w:szCs w:val="22"/>
        </w:rPr>
        <w:t>lo 0,80</w:t>
      </w:r>
      <w:r w:rsidRPr="00632A65">
        <w:rPr>
          <w:rFonts w:ascii="Arial" w:hAnsi="Arial" w:cs="Arial"/>
          <w:sz w:val="22"/>
          <w:szCs w:val="22"/>
        </w:rPr>
        <w:t>% delle sanzioni previste.</w:t>
      </w:r>
    </w:p>
    <w:p w:rsidR="004F39DA" w:rsidRPr="00632A65" w:rsidRDefault="004F39DA" w:rsidP="003D76D9">
      <w:pPr>
        <w:numPr>
          <w:ilvl w:val="12"/>
          <w:numId w:val="0"/>
        </w:numPr>
        <w:spacing w:after="120"/>
        <w:jc w:val="both"/>
        <w:rPr>
          <w:rFonts w:ascii="Arial" w:hAnsi="Arial" w:cs="Arial"/>
          <w:sz w:val="22"/>
          <w:szCs w:val="22"/>
        </w:rPr>
      </w:pPr>
      <w:r w:rsidRPr="00632A65">
        <w:rPr>
          <w:rFonts w:ascii="Arial" w:hAnsi="Arial" w:cs="Arial"/>
          <w:sz w:val="22"/>
          <w:szCs w:val="22"/>
        </w:rPr>
        <w:t>La somma da assoggettare a vincoli è così distinta:</w:t>
      </w:r>
    </w:p>
    <w:p w:rsidR="004F39DA" w:rsidRPr="00632A65" w:rsidRDefault="004F39DA" w:rsidP="003D76D9">
      <w:pPr>
        <w:numPr>
          <w:ilvl w:val="12"/>
          <w:numId w:val="0"/>
        </w:numPr>
        <w:spacing w:after="120"/>
        <w:jc w:val="both"/>
        <w:rPr>
          <w:rFonts w:ascii="Arial" w:hAnsi="Arial" w:cs="Arial"/>
          <w:sz w:val="22"/>
          <w:szCs w:val="22"/>
        </w:rPr>
      </w:pPr>
      <w:r w:rsidRPr="00632A65">
        <w:rPr>
          <w:rFonts w:ascii="Arial" w:hAnsi="Arial" w:cs="Arial"/>
          <w:sz w:val="22"/>
          <w:szCs w:val="22"/>
        </w:rPr>
        <w:t xml:space="preserve">- euro </w:t>
      </w:r>
      <w:r>
        <w:rPr>
          <w:rFonts w:ascii="Arial" w:hAnsi="Arial" w:cs="Arial"/>
          <w:sz w:val="22"/>
          <w:szCs w:val="22"/>
        </w:rPr>
        <w:t>800,00</w:t>
      </w:r>
      <w:r w:rsidRPr="00632A65">
        <w:rPr>
          <w:rFonts w:ascii="Arial" w:hAnsi="Arial" w:cs="Arial"/>
          <w:sz w:val="22"/>
          <w:szCs w:val="22"/>
        </w:rPr>
        <w:t xml:space="preserve"> per sanzioni ex art. 208 comma 1 del codice della strada;</w:t>
      </w:r>
    </w:p>
    <w:p w:rsidR="004F39DA" w:rsidRPr="00632A65" w:rsidRDefault="004F39DA" w:rsidP="003D76D9">
      <w:pPr>
        <w:numPr>
          <w:ilvl w:val="12"/>
          <w:numId w:val="0"/>
        </w:numPr>
        <w:spacing w:after="120"/>
        <w:jc w:val="both"/>
        <w:rPr>
          <w:rFonts w:ascii="Arial" w:hAnsi="Arial" w:cs="Arial"/>
          <w:sz w:val="22"/>
          <w:szCs w:val="22"/>
        </w:rPr>
      </w:pPr>
      <w:r w:rsidRPr="00632A65">
        <w:rPr>
          <w:rFonts w:ascii="Arial" w:hAnsi="Arial" w:cs="Arial"/>
          <w:sz w:val="22"/>
          <w:szCs w:val="22"/>
        </w:rPr>
        <w:t xml:space="preserve">Con atto G.C. n. </w:t>
      </w:r>
      <w:r>
        <w:rPr>
          <w:rFonts w:ascii="Arial" w:hAnsi="Arial" w:cs="Arial"/>
          <w:sz w:val="22"/>
          <w:szCs w:val="22"/>
        </w:rPr>
        <w:t>27</w:t>
      </w:r>
      <w:r w:rsidRPr="00632A65">
        <w:rPr>
          <w:rFonts w:ascii="Arial" w:hAnsi="Arial" w:cs="Arial"/>
          <w:sz w:val="22"/>
          <w:szCs w:val="22"/>
        </w:rPr>
        <w:t xml:space="preserve"> in data </w:t>
      </w:r>
      <w:r>
        <w:rPr>
          <w:rFonts w:ascii="Arial" w:hAnsi="Arial" w:cs="Arial"/>
          <w:sz w:val="22"/>
          <w:szCs w:val="22"/>
        </w:rPr>
        <w:t xml:space="preserve">08/04/2016 </w:t>
      </w:r>
      <w:r w:rsidRPr="00632A65">
        <w:rPr>
          <w:rFonts w:ascii="Arial" w:hAnsi="Arial" w:cs="Arial"/>
          <w:sz w:val="22"/>
          <w:szCs w:val="22"/>
        </w:rPr>
        <w:t xml:space="preserve">le somma di euro </w:t>
      </w:r>
      <w:r>
        <w:rPr>
          <w:rFonts w:ascii="Arial" w:hAnsi="Arial" w:cs="Arial"/>
          <w:sz w:val="22"/>
          <w:szCs w:val="22"/>
        </w:rPr>
        <w:t xml:space="preserve">800,00 </w:t>
      </w:r>
      <w:r w:rsidRPr="00632A65">
        <w:rPr>
          <w:rFonts w:ascii="Arial" w:hAnsi="Arial" w:cs="Arial"/>
          <w:sz w:val="22"/>
          <w:szCs w:val="22"/>
        </w:rPr>
        <w:t xml:space="preserve">è stata destinata </w:t>
      </w:r>
      <w:r>
        <w:rPr>
          <w:rFonts w:ascii="Arial" w:hAnsi="Arial" w:cs="Arial"/>
          <w:sz w:val="22"/>
          <w:szCs w:val="22"/>
        </w:rPr>
        <w:t xml:space="preserve">interamente </w:t>
      </w:r>
      <w:r w:rsidRPr="00632A65">
        <w:rPr>
          <w:rFonts w:ascii="Arial" w:hAnsi="Arial" w:cs="Arial"/>
          <w:sz w:val="22"/>
          <w:szCs w:val="22"/>
        </w:rPr>
        <w:t xml:space="preserve">negli interventi di spesa alle finalità di cui agli articoli 142 e 208, comma 4, del codice della strada, come modificato dalla </w:t>
      </w:r>
      <w:r>
        <w:rPr>
          <w:rFonts w:ascii="Arial" w:hAnsi="Arial" w:cs="Arial"/>
          <w:sz w:val="22"/>
          <w:szCs w:val="22"/>
        </w:rPr>
        <w:t xml:space="preserve">legge </w:t>
      </w:r>
      <w:r w:rsidRPr="00632A65">
        <w:rPr>
          <w:rFonts w:ascii="Arial" w:hAnsi="Arial" w:cs="Arial"/>
          <w:sz w:val="22"/>
          <w:szCs w:val="22"/>
        </w:rPr>
        <w:t>n. 120 del 29/7/2010.</w:t>
      </w:r>
    </w:p>
    <w:p w:rsidR="004F39DA" w:rsidRPr="00632A65" w:rsidRDefault="004F39DA" w:rsidP="003D76D9">
      <w:pPr>
        <w:numPr>
          <w:ilvl w:val="12"/>
          <w:numId w:val="0"/>
        </w:numPr>
        <w:spacing w:after="120"/>
        <w:jc w:val="both"/>
        <w:rPr>
          <w:rFonts w:ascii="Arial" w:hAnsi="Arial" w:cs="Arial"/>
          <w:sz w:val="22"/>
          <w:szCs w:val="22"/>
        </w:rPr>
      </w:pPr>
      <w:r w:rsidRPr="00632A65">
        <w:rPr>
          <w:rFonts w:ascii="Arial" w:hAnsi="Arial" w:cs="Arial"/>
          <w:sz w:val="22"/>
          <w:szCs w:val="22"/>
        </w:rPr>
        <w:t>La quota vincolata è destinata al titolo I della spesa.</w:t>
      </w:r>
    </w:p>
    <w:p w:rsidR="004F39DA" w:rsidRPr="00632A65" w:rsidRDefault="004F39DA" w:rsidP="003D76D9">
      <w:pPr>
        <w:widowControl w:val="0"/>
        <w:autoSpaceDE w:val="0"/>
        <w:autoSpaceDN w:val="0"/>
        <w:adjustRightInd w:val="0"/>
        <w:spacing w:before="120" w:after="120"/>
        <w:jc w:val="both"/>
        <w:rPr>
          <w:rFonts w:ascii="Arial" w:hAnsi="Arial" w:cs="Arial"/>
          <w:sz w:val="22"/>
          <w:szCs w:val="22"/>
        </w:rPr>
      </w:pPr>
      <w:r w:rsidRPr="00632A65">
        <w:rPr>
          <w:rFonts w:ascii="Arial" w:hAnsi="Arial" w:cs="Arial"/>
          <w:sz w:val="22"/>
          <w:szCs w:val="22"/>
        </w:rPr>
        <w:t>L’entrata presenta il seguente andamento:</w:t>
      </w:r>
    </w:p>
    <w:p w:rsidR="004F39DA" w:rsidRPr="00632A65" w:rsidRDefault="004F39DA" w:rsidP="003D76D9">
      <w:pPr>
        <w:widowControl w:val="0"/>
        <w:autoSpaceDE w:val="0"/>
        <w:autoSpaceDN w:val="0"/>
        <w:adjustRightInd w:val="0"/>
        <w:spacing w:before="120" w:after="120"/>
        <w:jc w:val="both"/>
        <w:rPr>
          <w:rFonts w:ascii="Arial" w:hAnsi="Arial" w:cs="Arial"/>
          <w:sz w:val="22"/>
          <w:szCs w:val="22"/>
        </w:rPr>
      </w:pPr>
      <w:r w:rsidRPr="00632A65">
        <w:rPr>
          <w:rFonts w:ascii="Arial" w:hAnsi="Arial" w:cs="Arial"/>
          <w:sz w:val="22"/>
          <w:szCs w:val="22"/>
        </w:rPr>
        <w:object w:dxaOrig="3727" w:dyaOrig="1179">
          <v:shape id="_x0000_i1036" type="#_x0000_t75" style="width:184.5pt;height:57.75pt" o:ole="">
            <v:imagedata r:id="rId34" o:title=""/>
          </v:shape>
          <o:OLEObject Type="Embed" ProgID="Excel.Sheet.12" ShapeID="_x0000_i1036" DrawAspect="Content" ObjectID="_1547456138" r:id="rId35"/>
        </w:object>
      </w:r>
    </w:p>
    <w:p w:rsidR="004F39DA" w:rsidRPr="00632A65" w:rsidRDefault="004F39DA" w:rsidP="003D76D9">
      <w:pPr>
        <w:widowControl w:val="0"/>
        <w:autoSpaceDE w:val="0"/>
        <w:autoSpaceDN w:val="0"/>
        <w:adjustRightInd w:val="0"/>
        <w:spacing w:before="120" w:after="120"/>
        <w:jc w:val="both"/>
        <w:rPr>
          <w:rFonts w:ascii="Arial" w:hAnsi="Arial" w:cs="Arial"/>
          <w:sz w:val="22"/>
          <w:szCs w:val="22"/>
        </w:rPr>
      </w:pPr>
    </w:p>
    <w:p w:rsidR="004F39DA" w:rsidRPr="00632A65" w:rsidRDefault="004F39DA" w:rsidP="003D76D9">
      <w:pPr>
        <w:rPr>
          <w:rFonts w:ascii="Arial" w:hAnsi="Arial" w:cs="Arial"/>
          <w:b/>
          <w:u w:val="single"/>
        </w:rPr>
      </w:pPr>
      <w:bookmarkStart w:id="32" w:name="_Cosap_(Canone_occupazione"/>
      <w:bookmarkStart w:id="33" w:name="_SPESE_CORRENTI"/>
      <w:bookmarkStart w:id="34" w:name="_Toc379377460"/>
      <w:bookmarkStart w:id="35" w:name="_Toc346838832"/>
      <w:bookmarkEnd w:id="32"/>
      <w:bookmarkEnd w:id="33"/>
      <w:r w:rsidRPr="00632A65">
        <w:rPr>
          <w:rFonts w:ascii="Arial" w:hAnsi="Arial" w:cs="Arial"/>
          <w:b/>
          <w:u w:val="single"/>
        </w:rPr>
        <w:t>Contributi per permesso di costruire</w:t>
      </w:r>
      <w:bookmarkEnd w:id="34"/>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r w:rsidRPr="00632A65">
        <w:rPr>
          <w:rFonts w:ascii="Arial" w:hAnsi="Arial" w:cs="Arial"/>
          <w:sz w:val="22"/>
          <w:szCs w:val="22"/>
        </w:rPr>
        <w:t>La previsione del contributo per permesso di costruire e la sua percentuale di destinazione alla spesa corrente confrontata con gli accertamenti degli ultimi anni è la seguente:</w:t>
      </w:r>
    </w:p>
    <w:p w:rsidR="004F39DA" w:rsidRPr="00632A65" w:rsidRDefault="004F39DA" w:rsidP="003D76D9">
      <w:pPr>
        <w:rPr>
          <w:rFonts w:ascii="Arial" w:hAnsi="Arial" w:cs="Arial"/>
          <w:sz w:val="22"/>
          <w:szCs w:val="22"/>
        </w:rPr>
      </w:pPr>
      <w:r w:rsidRPr="00632A65">
        <w:rPr>
          <w:rFonts w:ascii="Arial" w:hAnsi="Arial" w:cs="Arial"/>
          <w:sz w:val="22"/>
          <w:szCs w:val="22"/>
        </w:rPr>
        <w:object w:dxaOrig="6338" w:dyaOrig="2052">
          <v:shape id="_x0000_i1037" type="#_x0000_t75" style="width:317.25pt;height:102.75pt" o:ole="">
            <v:imagedata r:id="rId36" o:title=""/>
          </v:shape>
          <o:OLEObject Type="Embed" ProgID="Excel.Sheet.12" ShapeID="_x0000_i1037" DrawAspect="Content" ObjectID="_1547456139" r:id="rId37"/>
        </w:object>
      </w:r>
    </w:p>
    <w:p w:rsidR="004F39DA" w:rsidRPr="00632A65" w:rsidRDefault="004F39DA" w:rsidP="003D76D9">
      <w:pPr>
        <w:rPr>
          <w:rFonts w:ascii="Arial" w:hAnsi="Arial" w:cs="Arial"/>
        </w:rPr>
      </w:pPr>
    </w:p>
    <w:p w:rsidR="004F39DA" w:rsidRPr="00632A65" w:rsidRDefault="004F39DA" w:rsidP="003D76D9">
      <w:pPr>
        <w:rPr>
          <w:rFonts w:ascii="Arial" w:hAnsi="Arial" w:cs="Arial"/>
        </w:rPr>
      </w:pPr>
    </w:p>
    <w:p w:rsidR="004F39DA" w:rsidRPr="00632A65" w:rsidRDefault="004F39DA" w:rsidP="003D76D9">
      <w:pPr>
        <w:rPr>
          <w:rFonts w:ascii="Arial" w:hAnsi="Arial" w:cs="Arial"/>
        </w:rPr>
      </w:pPr>
    </w:p>
    <w:p w:rsidR="004F39DA" w:rsidRPr="00632A65" w:rsidRDefault="004F39DA" w:rsidP="003D76D9">
      <w:pPr>
        <w:pStyle w:val="Heading2"/>
      </w:pPr>
      <w:bookmarkStart w:id="36" w:name="_Toc314835191"/>
      <w:r w:rsidRPr="00632A65">
        <w:t>B) SPESE PER TITOLI E MACROAGGREGATI</w:t>
      </w:r>
      <w:bookmarkEnd w:id="35"/>
      <w:bookmarkEnd w:id="36"/>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r w:rsidRPr="00632A65">
        <w:rPr>
          <w:rFonts w:ascii="Arial" w:hAnsi="Arial" w:cs="Arial"/>
          <w:sz w:val="22"/>
          <w:szCs w:val="22"/>
        </w:rPr>
        <w:t>Le previsioni degli esercizi 2016-2018 per macroaggregati di spesa corrente confrontate con la spesa risultante dagli interventi dal rendiconto 2015 e la seguente tenendo conto che la corrispondenza fra interventi e macroaggregati è la seguente:</w:t>
      </w: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i/>
          <w:sz w:val="22"/>
          <w:szCs w:val="22"/>
        </w:rPr>
      </w:pPr>
      <w:r w:rsidRPr="00632A65">
        <w:rPr>
          <w:rFonts w:ascii="Arial" w:hAnsi="Arial" w:cs="Arial"/>
          <w:i/>
          <w:sz w:val="22"/>
          <w:szCs w:val="22"/>
        </w:rPr>
        <w:t>interventi ex dpr 194/96</w:t>
      </w:r>
      <w:r w:rsidRPr="00632A65">
        <w:rPr>
          <w:rFonts w:ascii="Arial" w:hAnsi="Arial" w:cs="Arial"/>
          <w:i/>
          <w:sz w:val="22"/>
          <w:szCs w:val="22"/>
        </w:rPr>
        <w:tab/>
      </w:r>
      <w:r w:rsidRPr="00632A65">
        <w:rPr>
          <w:rFonts w:ascii="Arial" w:hAnsi="Arial" w:cs="Arial"/>
          <w:i/>
          <w:sz w:val="22"/>
          <w:szCs w:val="22"/>
        </w:rPr>
        <w:tab/>
      </w:r>
      <w:r w:rsidRPr="00632A65">
        <w:rPr>
          <w:rFonts w:ascii="Arial" w:hAnsi="Arial" w:cs="Arial"/>
          <w:i/>
          <w:sz w:val="22"/>
          <w:szCs w:val="22"/>
        </w:rPr>
        <w:tab/>
        <w:t>macroaggregati d.gs.118/2011</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1) Personale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1) Redditi da lavoro dipendente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7) Imposte e tasse </w:t>
      </w:r>
      <w:r w:rsidRPr="00632A65">
        <w:rPr>
          <w:rFonts w:ascii="Arial" w:hAnsi="Arial" w:cs="Arial"/>
          <w:i/>
        </w:rPr>
        <w:tab/>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2) Imposte e tasse a carico dell'Ente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2) Acquisto di beni di consumo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3) Prestazioni di servizi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4) Utilizzo di beni di terzi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3) Acquisto di beni e servizi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5) Trasferimenti correnti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4) Trasferimenti correnti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5) Trasferimenti di tributi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6) Fondi perequativi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6) Interessi passivi ed oneri finanziari diversi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7) Interessi passivi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8) Altre spese per redditi di capitale</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 8) Oneri straordinari della gestione corrente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9) Ammortamenti di esercizio</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 xml:space="preserve">10) Fondo Svalutazione Crediti </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rPr>
          <w:rFonts w:ascii="Arial" w:hAnsi="Arial" w:cs="Arial"/>
          <w:i/>
        </w:rPr>
      </w:pPr>
      <w:r w:rsidRPr="00632A65">
        <w:rPr>
          <w:rFonts w:ascii="Arial" w:hAnsi="Arial" w:cs="Arial"/>
          <w:i/>
        </w:rPr>
        <w:t>11) Fondo di Riserva</w:t>
      </w:r>
    </w:p>
    <w:p w:rsidR="004F39DA" w:rsidRPr="00632A65" w:rsidRDefault="004F39DA" w:rsidP="003D76D9">
      <w:pPr>
        <w:pBdr>
          <w:top w:val="single" w:sz="4" w:space="1" w:color="auto"/>
          <w:left w:val="single" w:sz="4" w:space="0" w:color="auto"/>
          <w:bottom w:val="single" w:sz="4" w:space="1" w:color="auto"/>
          <w:right w:val="single" w:sz="4" w:space="4" w:color="auto"/>
          <w:between w:val="single" w:sz="4" w:space="1" w:color="auto"/>
        </w:pBdr>
        <w:ind w:left="4248" w:firstLine="708"/>
        <w:rPr>
          <w:rFonts w:ascii="Arial" w:hAnsi="Arial" w:cs="Arial"/>
          <w:i/>
        </w:rPr>
      </w:pPr>
      <w:r w:rsidRPr="00632A65">
        <w:rPr>
          <w:rFonts w:ascii="Arial" w:hAnsi="Arial" w:cs="Arial"/>
          <w:i/>
        </w:rPr>
        <w:t xml:space="preserve">9) Altre spese correnti </w:t>
      </w:r>
    </w:p>
    <w:p w:rsidR="004F39DA" w:rsidRPr="00632A65" w:rsidRDefault="004F39DA" w:rsidP="003D76D9">
      <w:pPr>
        <w:rPr>
          <w:rFonts w:ascii="Arial" w:hAnsi="Arial" w:cs="Arial"/>
          <w:sz w:val="22"/>
          <w:szCs w:val="22"/>
        </w:rPr>
      </w:pPr>
    </w:p>
    <w:p w:rsidR="004F39DA" w:rsidRPr="00632A65" w:rsidRDefault="004F39DA" w:rsidP="003D76D9">
      <w:pPr>
        <w:rPr>
          <w:rFonts w:ascii="Arial" w:hAnsi="Arial" w:cs="Arial"/>
          <w:sz w:val="22"/>
          <w:szCs w:val="22"/>
        </w:rPr>
      </w:pPr>
      <w:r w:rsidRPr="00632A65">
        <w:rPr>
          <w:rFonts w:ascii="Arial" w:hAnsi="Arial" w:cs="Arial"/>
          <w:sz w:val="22"/>
          <w:szCs w:val="22"/>
        </w:rPr>
        <w:t>Sviluppo previsione per aggregati di spesa.</w:t>
      </w:r>
    </w:p>
    <w:p w:rsidR="004F39DA" w:rsidRPr="00632A65" w:rsidRDefault="004F39DA" w:rsidP="003D76D9">
      <w:pPr>
        <w:rPr>
          <w:rFonts w:ascii="Arial" w:hAnsi="Arial" w:cs="Arial"/>
          <w:sz w:val="22"/>
          <w:szCs w:val="22"/>
        </w:rPr>
      </w:pPr>
    </w:p>
    <w:p w:rsidR="004F39DA" w:rsidRPr="00632A65" w:rsidRDefault="004F39DA" w:rsidP="003D76D9">
      <w:pPr>
        <w:spacing w:after="120"/>
        <w:jc w:val="both"/>
        <w:rPr>
          <w:rFonts w:ascii="Arial" w:hAnsi="Arial" w:cs="Arial"/>
          <w:b/>
          <w:i/>
          <w:color w:val="0000FF"/>
          <w:sz w:val="18"/>
          <w:szCs w:val="18"/>
        </w:rPr>
      </w:pPr>
      <w:r w:rsidRPr="00632A65">
        <w:rPr>
          <w:rFonts w:ascii="Arial" w:hAnsi="Arial" w:cs="Arial"/>
          <w:b/>
          <w:i/>
          <w:color w:val="0000FF"/>
          <w:sz w:val="18"/>
          <w:szCs w:val="18"/>
        </w:rPr>
        <w:object w:dxaOrig="9722" w:dyaOrig="5035">
          <v:shape id="_x0000_i1038" type="#_x0000_t75" style="width:486pt;height:252pt" o:ole="">
            <v:imagedata r:id="rId38" o:title=""/>
          </v:shape>
          <o:OLEObject Type="Embed" ProgID="Excel.Sheet.12" ShapeID="_x0000_i1038" DrawAspect="Content" ObjectID="_1547456140" r:id="rId39"/>
        </w:object>
      </w:r>
    </w:p>
    <w:p w:rsidR="004F39DA" w:rsidRPr="00632A65" w:rsidRDefault="004F39DA" w:rsidP="003D76D9">
      <w:pPr>
        <w:spacing w:after="120"/>
        <w:jc w:val="both"/>
        <w:rPr>
          <w:rFonts w:ascii="Arial" w:hAnsi="Arial" w:cs="Arial"/>
          <w:sz w:val="22"/>
          <w:szCs w:val="22"/>
        </w:rPr>
      </w:pPr>
    </w:p>
    <w:p w:rsidR="004F39DA" w:rsidRPr="00632A65" w:rsidRDefault="004F39DA" w:rsidP="003D76D9">
      <w:pPr>
        <w:pStyle w:val="Heading3"/>
      </w:pPr>
      <w:bookmarkStart w:id="37" w:name="_Toc314835192"/>
      <w:r w:rsidRPr="00632A65">
        <w:t>Spese di personale</w:t>
      </w:r>
      <w:bookmarkEnd w:id="37"/>
    </w:p>
    <w:p w:rsidR="004F39DA" w:rsidRPr="00632A65" w:rsidRDefault="004F39DA" w:rsidP="003D76D9">
      <w:pPr>
        <w:tabs>
          <w:tab w:val="left" w:pos="720"/>
        </w:tabs>
        <w:rPr>
          <w:rFonts w:ascii="Arial" w:hAnsi="Arial" w:cs="Arial"/>
          <w:i/>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La spesa per redditi di lavoro dipendente prevista per</w:t>
      </w:r>
      <w:r>
        <w:rPr>
          <w:rFonts w:ascii="Arial" w:hAnsi="Arial" w:cs="Arial"/>
          <w:sz w:val="22"/>
          <w:szCs w:val="22"/>
        </w:rPr>
        <w:t xml:space="preserve"> </w:t>
      </w:r>
      <w:r w:rsidRPr="00632A65">
        <w:rPr>
          <w:rFonts w:ascii="Arial" w:hAnsi="Arial" w:cs="Arial"/>
          <w:sz w:val="22"/>
          <w:szCs w:val="22"/>
        </w:rPr>
        <w:t>gli esercizi 2016-2018, tiene conto della programmazione del fabbisogno, del piano delle assunzioni e:</w:t>
      </w:r>
    </w:p>
    <w:p w:rsidR="004F39DA" w:rsidRPr="00632A65" w:rsidRDefault="004F39DA" w:rsidP="00E11CA8">
      <w:pPr>
        <w:numPr>
          <w:ilvl w:val="0"/>
          <w:numId w:val="5"/>
        </w:numPr>
        <w:tabs>
          <w:tab w:val="left" w:pos="360"/>
        </w:tabs>
        <w:spacing w:before="120"/>
        <w:ind w:left="357" w:hanging="357"/>
        <w:jc w:val="both"/>
        <w:rPr>
          <w:rFonts w:ascii="Arial" w:hAnsi="Arial" w:cs="Arial"/>
          <w:sz w:val="22"/>
          <w:szCs w:val="22"/>
        </w:rPr>
      </w:pPr>
      <w:r w:rsidRPr="00632A65">
        <w:rPr>
          <w:rFonts w:ascii="Arial" w:hAnsi="Arial" w:cs="Arial"/>
          <w:sz w:val="22"/>
          <w:szCs w:val="22"/>
        </w:rPr>
        <w:t>dei vincoli disposti dall’art. 3, comma 5 e 5 quater del D.L. 90/2014 sulle assunzioni di personale a tempo indeterminato</w:t>
      </w:r>
      <w:r>
        <w:rPr>
          <w:rFonts w:ascii="Arial" w:hAnsi="Arial" w:cs="Arial"/>
          <w:sz w:val="22"/>
          <w:szCs w:val="22"/>
        </w:rPr>
        <w:t xml:space="preserve"> (non risultano previste assunzioni a tempo indeterminato)</w:t>
      </w:r>
      <w:r w:rsidRPr="00632A65">
        <w:rPr>
          <w:rFonts w:ascii="Arial" w:hAnsi="Arial" w:cs="Arial"/>
          <w:sz w:val="22"/>
          <w:szCs w:val="22"/>
        </w:rPr>
        <w:t>;</w:t>
      </w:r>
    </w:p>
    <w:p w:rsidR="004F39DA" w:rsidRPr="00632A65" w:rsidRDefault="004F39DA" w:rsidP="00E11CA8">
      <w:pPr>
        <w:numPr>
          <w:ilvl w:val="0"/>
          <w:numId w:val="5"/>
        </w:numPr>
        <w:tabs>
          <w:tab w:val="left" w:pos="360"/>
        </w:tabs>
        <w:spacing w:before="120"/>
        <w:ind w:left="357" w:hanging="357"/>
        <w:jc w:val="both"/>
        <w:rPr>
          <w:rFonts w:ascii="Arial" w:hAnsi="Arial" w:cs="Arial"/>
          <w:sz w:val="22"/>
          <w:szCs w:val="22"/>
        </w:rPr>
      </w:pPr>
      <w:r w:rsidRPr="00632A65">
        <w:rPr>
          <w:rFonts w:ascii="Arial" w:hAnsi="Arial" w:cs="Arial"/>
          <w:sz w:val="22"/>
          <w:szCs w:val="22"/>
        </w:rPr>
        <w:t>dei vincoli disposti dall’art. 9, comma 28</w:t>
      </w:r>
      <w:r>
        <w:rPr>
          <w:rFonts w:ascii="Arial" w:hAnsi="Arial" w:cs="Arial"/>
          <w:sz w:val="22"/>
          <w:szCs w:val="22"/>
        </w:rPr>
        <w:t xml:space="preserve">, </w:t>
      </w:r>
      <w:r w:rsidRPr="00632A65">
        <w:rPr>
          <w:rFonts w:ascii="Arial" w:hAnsi="Arial" w:cs="Arial"/>
          <w:sz w:val="22"/>
          <w:szCs w:val="22"/>
        </w:rPr>
        <w:t xml:space="preserve">del D.L. 78/2010 sulla spesa per personale a tempo determinato, che obbligano a non superare la spesa dell’anno 2009 di euro </w:t>
      </w:r>
      <w:r>
        <w:rPr>
          <w:rFonts w:ascii="Arial" w:hAnsi="Arial" w:cs="Arial"/>
          <w:sz w:val="22"/>
          <w:szCs w:val="22"/>
        </w:rPr>
        <w:t>24.223,38</w:t>
      </w:r>
      <w:r w:rsidRPr="00632A65">
        <w:rPr>
          <w:rFonts w:ascii="Arial" w:hAnsi="Arial" w:cs="Arial"/>
          <w:sz w:val="22"/>
          <w:szCs w:val="22"/>
        </w:rPr>
        <w:t>;</w:t>
      </w:r>
    </w:p>
    <w:p w:rsidR="004F39DA" w:rsidRPr="00632A65" w:rsidRDefault="004F39DA" w:rsidP="00E11CA8">
      <w:pPr>
        <w:numPr>
          <w:ilvl w:val="0"/>
          <w:numId w:val="5"/>
        </w:numPr>
        <w:tabs>
          <w:tab w:val="left" w:pos="360"/>
        </w:tabs>
        <w:spacing w:before="120"/>
        <w:ind w:left="357" w:hanging="357"/>
        <w:jc w:val="both"/>
        <w:rPr>
          <w:rFonts w:ascii="Arial" w:hAnsi="Arial" w:cs="Arial"/>
          <w:sz w:val="22"/>
          <w:szCs w:val="22"/>
        </w:rPr>
      </w:pPr>
      <w:r w:rsidRPr="00632A65">
        <w:rPr>
          <w:rFonts w:ascii="Arial" w:hAnsi="Arial" w:cs="Arial"/>
          <w:sz w:val="22"/>
          <w:szCs w:val="22"/>
        </w:rPr>
        <w:t>dell’obbligo di riduzione della spesa di personale disposto dall’art. 1</w:t>
      </w:r>
      <w:r>
        <w:rPr>
          <w:rFonts w:ascii="Arial" w:hAnsi="Arial" w:cs="Arial"/>
          <w:sz w:val="22"/>
          <w:szCs w:val="22"/>
        </w:rPr>
        <w:t xml:space="preserve">, </w:t>
      </w:r>
      <w:r w:rsidRPr="00632A65">
        <w:rPr>
          <w:rFonts w:ascii="Arial" w:hAnsi="Arial" w:cs="Arial"/>
          <w:sz w:val="22"/>
          <w:szCs w:val="22"/>
        </w:rPr>
        <w:t>comma 557</w:t>
      </w:r>
      <w:r>
        <w:rPr>
          <w:rFonts w:ascii="Arial" w:hAnsi="Arial" w:cs="Arial"/>
          <w:sz w:val="22"/>
          <w:szCs w:val="22"/>
        </w:rPr>
        <w:t xml:space="preserve">, </w:t>
      </w:r>
      <w:r w:rsidRPr="00632A65">
        <w:rPr>
          <w:rFonts w:ascii="Arial" w:hAnsi="Arial" w:cs="Arial"/>
          <w:sz w:val="22"/>
          <w:szCs w:val="22"/>
        </w:rPr>
        <w:t xml:space="preserve">della </w:t>
      </w:r>
      <w:r>
        <w:rPr>
          <w:rFonts w:ascii="Arial" w:hAnsi="Arial" w:cs="Arial"/>
          <w:sz w:val="22"/>
          <w:szCs w:val="22"/>
        </w:rPr>
        <w:t xml:space="preserve">legge </w:t>
      </w:r>
      <w:r w:rsidRPr="00632A65">
        <w:rPr>
          <w:rFonts w:ascii="Arial" w:hAnsi="Arial" w:cs="Arial"/>
          <w:sz w:val="22"/>
          <w:szCs w:val="22"/>
        </w:rPr>
        <w:t xml:space="preserve">296/2006 rispetto a valore medio del triennio 2011/2013 che risulta di euro </w:t>
      </w:r>
      <w:r>
        <w:rPr>
          <w:rFonts w:ascii="Arial" w:hAnsi="Arial" w:cs="Arial"/>
          <w:sz w:val="22"/>
          <w:szCs w:val="22"/>
        </w:rPr>
        <w:t>605.582,42.</w:t>
      </w:r>
    </w:p>
    <w:p w:rsidR="004F39DA" w:rsidRPr="00632A65" w:rsidRDefault="004F39DA" w:rsidP="003D76D9">
      <w:pPr>
        <w:pStyle w:val="Corpodeltesto21"/>
        <w:spacing w:before="120" w:after="0"/>
        <w:rPr>
          <w:rFonts w:cs="Arial"/>
          <w:b w:val="0"/>
          <w:i w:val="0"/>
          <w:sz w:val="22"/>
          <w:szCs w:val="22"/>
        </w:rPr>
      </w:pPr>
      <w:r>
        <w:rPr>
          <w:rFonts w:cs="Arial"/>
          <w:b w:val="0"/>
          <w:i w:val="0"/>
          <w:sz w:val="22"/>
          <w:szCs w:val="22"/>
        </w:rPr>
        <w:t>Il Revisore dei Conti ha provveduto con verbale n. 28</w:t>
      </w:r>
      <w:r w:rsidRPr="00632A65">
        <w:rPr>
          <w:rFonts w:cs="Arial"/>
          <w:b w:val="0"/>
          <w:i w:val="0"/>
          <w:sz w:val="22"/>
          <w:szCs w:val="22"/>
        </w:rPr>
        <w:t xml:space="preserve"> in data </w:t>
      </w:r>
      <w:r>
        <w:rPr>
          <w:rFonts w:cs="Arial"/>
          <w:b w:val="0"/>
          <w:i w:val="0"/>
          <w:sz w:val="22"/>
          <w:szCs w:val="22"/>
        </w:rPr>
        <w:t>07/04/2016</w:t>
      </w:r>
      <w:r w:rsidRPr="00632A65">
        <w:rPr>
          <w:rFonts w:cs="Arial"/>
          <w:b w:val="0"/>
          <w:i w:val="0"/>
          <w:sz w:val="22"/>
          <w:szCs w:val="22"/>
        </w:rPr>
        <w:t xml:space="preserve">, ai sensi dell’articolo 19, punto 8, della </w:t>
      </w:r>
      <w:r>
        <w:rPr>
          <w:rFonts w:cs="Arial"/>
          <w:b w:val="0"/>
          <w:i w:val="0"/>
          <w:sz w:val="22"/>
          <w:szCs w:val="22"/>
        </w:rPr>
        <w:t>Legge</w:t>
      </w:r>
      <w:r w:rsidRPr="00632A65">
        <w:rPr>
          <w:rFonts w:cs="Arial"/>
          <w:b w:val="0"/>
          <w:i w:val="0"/>
          <w:sz w:val="22"/>
          <w:szCs w:val="22"/>
        </w:rPr>
        <w:t xml:space="preserve">448/2001, ad accertare che i documenti di programmazione del fabbisogno di personale siano improntati al rispetto del principio di riduzione complessiva della spesa, previsto dall’articolo 39 della </w:t>
      </w:r>
      <w:r>
        <w:rPr>
          <w:rFonts w:cs="Arial"/>
          <w:b w:val="0"/>
          <w:i w:val="0"/>
          <w:sz w:val="22"/>
          <w:szCs w:val="22"/>
        </w:rPr>
        <w:t xml:space="preserve">legge </w:t>
      </w:r>
      <w:r w:rsidRPr="00632A65">
        <w:rPr>
          <w:rFonts w:cs="Arial"/>
          <w:b w:val="0"/>
          <w:i w:val="0"/>
          <w:sz w:val="22"/>
          <w:szCs w:val="22"/>
        </w:rPr>
        <w:t>n. 449/1997.</w:t>
      </w:r>
    </w:p>
    <w:p w:rsidR="004F39DA" w:rsidRPr="00632A65" w:rsidRDefault="004F39DA" w:rsidP="003D76D9">
      <w:pPr>
        <w:rPr>
          <w:rFonts w:ascii="Arial" w:hAnsi="Arial" w:cs="Arial"/>
          <w:sz w:val="22"/>
          <w:szCs w:val="22"/>
        </w:rPr>
      </w:pPr>
    </w:p>
    <w:p w:rsidR="004F39DA" w:rsidRDefault="004F39DA" w:rsidP="003D76D9">
      <w:pPr>
        <w:rPr>
          <w:rFonts w:ascii="Arial" w:hAnsi="Arial" w:cs="Arial"/>
          <w:sz w:val="22"/>
          <w:szCs w:val="22"/>
        </w:rPr>
      </w:pPr>
      <w:r>
        <w:rPr>
          <w:rFonts w:ascii="Arial" w:hAnsi="Arial" w:cs="Arial"/>
          <w:sz w:val="22"/>
          <w:szCs w:val="22"/>
        </w:rPr>
        <w:t>L</w:t>
      </w:r>
      <w:r w:rsidRPr="00632A65">
        <w:rPr>
          <w:rFonts w:ascii="Arial" w:hAnsi="Arial" w:cs="Arial"/>
          <w:sz w:val="22"/>
          <w:szCs w:val="22"/>
        </w:rPr>
        <w:t>a previsione per gli anni 2016, 2017 e 2018 è inferiore alla spesa media del triennio 2011/2013</w:t>
      </w:r>
      <w:r>
        <w:rPr>
          <w:rFonts w:ascii="Arial" w:hAnsi="Arial" w:cs="Arial"/>
          <w:sz w:val="22"/>
          <w:szCs w:val="22"/>
        </w:rPr>
        <w:t>.</w:t>
      </w:r>
    </w:p>
    <w:p w:rsidR="004F39DA" w:rsidRPr="00632A65" w:rsidRDefault="004F39DA" w:rsidP="003D76D9">
      <w:pPr>
        <w:rPr>
          <w:rFonts w:ascii="Arial" w:hAnsi="Arial" w:cs="Arial"/>
          <w:i/>
          <w:sz w:val="16"/>
          <w:szCs w:val="16"/>
        </w:rPr>
      </w:pPr>
      <w:r w:rsidRPr="00632A65">
        <w:rPr>
          <w:rFonts w:ascii="Arial" w:hAnsi="Arial" w:cs="Arial"/>
          <w:i/>
          <w:sz w:val="16"/>
          <w:szCs w:val="16"/>
        </w:rPr>
        <w:t xml:space="preserve"> </w:t>
      </w:r>
    </w:p>
    <w:p w:rsidR="004F39DA" w:rsidRPr="00632A65" w:rsidRDefault="004F39DA" w:rsidP="003D76D9">
      <w:pPr>
        <w:pStyle w:val="Heading3"/>
      </w:pPr>
      <w:bookmarkStart w:id="38" w:name="_Toc314835193"/>
      <w:r w:rsidRPr="00632A65">
        <w:t xml:space="preserve">Spese per incarichi di collaborazione autonoma (art.46 D.L. 25 giugno 2008, n. 112 – conv. nella </w:t>
      </w:r>
      <w:r>
        <w:t>Legge</w:t>
      </w:r>
      <w:r w:rsidRPr="00632A65">
        <w:t>133/2008)</w:t>
      </w:r>
      <w:bookmarkEnd w:id="38"/>
    </w:p>
    <w:p w:rsidR="004F39DA" w:rsidRDefault="004F39DA" w:rsidP="003D76D9">
      <w:pPr>
        <w:jc w:val="both"/>
        <w:rPr>
          <w:rFonts w:ascii="Arial" w:hAnsi="Arial" w:cs="Arial"/>
          <w:sz w:val="22"/>
          <w:szCs w:val="22"/>
        </w:rPr>
      </w:pPr>
    </w:p>
    <w:p w:rsidR="004F39DA" w:rsidRPr="00632A65" w:rsidRDefault="004F39DA" w:rsidP="003D76D9">
      <w:pPr>
        <w:jc w:val="both"/>
        <w:rPr>
          <w:rFonts w:ascii="Arial" w:hAnsi="Arial" w:cs="Arial"/>
          <w:b/>
          <w:i/>
          <w:color w:val="0070C0"/>
          <w:sz w:val="20"/>
          <w:szCs w:val="18"/>
        </w:rPr>
      </w:pPr>
      <w:r>
        <w:rPr>
          <w:rFonts w:ascii="Arial" w:hAnsi="Arial" w:cs="Arial"/>
          <w:sz w:val="22"/>
          <w:szCs w:val="22"/>
        </w:rPr>
        <w:t xml:space="preserve">Non sono previste spese </w:t>
      </w:r>
      <w:r w:rsidRPr="00632A65">
        <w:rPr>
          <w:rFonts w:ascii="Arial" w:hAnsi="Arial" w:cs="Arial"/>
          <w:sz w:val="22"/>
          <w:szCs w:val="22"/>
        </w:rPr>
        <w:t xml:space="preserve">per incarichi di collaborazione autonoma. </w:t>
      </w:r>
    </w:p>
    <w:p w:rsidR="004F39DA" w:rsidRPr="00632A65" w:rsidRDefault="004F39DA" w:rsidP="003D76D9">
      <w:pPr>
        <w:rPr>
          <w:rFonts w:ascii="Arial" w:hAnsi="Arial" w:cs="Arial"/>
          <w:i/>
          <w:sz w:val="20"/>
        </w:rPr>
      </w:pPr>
    </w:p>
    <w:p w:rsidR="004F39DA" w:rsidRPr="00632A65" w:rsidRDefault="004F39DA" w:rsidP="003D76D9">
      <w:pPr>
        <w:pStyle w:val="Heading3"/>
      </w:pPr>
      <w:bookmarkStart w:id="39" w:name="_Toc314835194"/>
      <w:r w:rsidRPr="00632A65">
        <w:t>Spese per acquisto beni e servizi</w:t>
      </w:r>
      <w:bookmarkEnd w:id="39"/>
      <w:r w:rsidRPr="00632A65">
        <w:t xml:space="preserve"> </w:t>
      </w:r>
    </w:p>
    <w:p w:rsidR="004F39DA" w:rsidRPr="00632A65" w:rsidRDefault="004F39DA" w:rsidP="003D76D9">
      <w:pPr>
        <w:pStyle w:val="BodyText3"/>
        <w:spacing w:before="120"/>
        <w:rPr>
          <w:rFonts w:cs="Arial"/>
          <w:sz w:val="22"/>
          <w:szCs w:val="22"/>
        </w:rPr>
      </w:pPr>
      <w:r w:rsidRPr="00632A65">
        <w:rPr>
          <w:rFonts w:cs="Arial"/>
          <w:sz w:val="22"/>
          <w:szCs w:val="22"/>
        </w:rPr>
        <w:t xml:space="preserve">La previsione di spesa tiene conto dei vincoli posti dal saldo di finanza pubblica, dal piano triennale di contenimento delle spese di cui all’art. 2, commi da 594 a 599 della </w:t>
      </w:r>
      <w:r>
        <w:rPr>
          <w:rFonts w:cs="Arial"/>
          <w:sz w:val="22"/>
          <w:szCs w:val="22"/>
        </w:rPr>
        <w:t>Legge</w:t>
      </w:r>
      <w:r w:rsidRPr="00632A65">
        <w:rPr>
          <w:rFonts w:cs="Arial"/>
          <w:sz w:val="22"/>
          <w:szCs w:val="22"/>
        </w:rPr>
        <w:t xml:space="preserve">244/2007, delle riduzioni di spesa disposte dall’art. 6 del D.L. 78/2010 e di quelle dell’art. 1, commi 146 e 147 della </w:t>
      </w:r>
      <w:r>
        <w:rPr>
          <w:rFonts w:cs="Arial"/>
          <w:sz w:val="22"/>
          <w:szCs w:val="22"/>
        </w:rPr>
        <w:t>Legge</w:t>
      </w:r>
      <w:r w:rsidRPr="00632A65">
        <w:rPr>
          <w:rFonts w:cs="Arial"/>
          <w:sz w:val="22"/>
          <w:szCs w:val="22"/>
        </w:rPr>
        <w:t>24/12/2012 n. 228.</w:t>
      </w:r>
    </w:p>
    <w:p w:rsidR="004F39DA" w:rsidRDefault="004F39DA" w:rsidP="003D76D9">
      <w:pPr>
        <w:pStyle w:val="BodyText3"/>
        <w:spacing w:before="120"/>
        <w:rPr>
          <w:rFonts w:cs="Arial"/>
          <w:sz w:val="22"/>
          <w:szCs w:val="22"/>
        </w:rPr>
      </w:pPr>
      <w:r w:rsidRPr="00632A65">
        <w:rPr>
          <w:rFonts w:cs="Arial"/>
          <w:sz w:val="22"/>
          <w:szCs w:val="22"/>
        </w:rPr>
        <w:t>In particolare le previsioni per gli anni 2016-2018 rispettano i seguenti limiti:</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
        <w:gridCol w:w="2684"/>
        <w:gridCol w:w="1096"/>
        <w:gridCol w:w="1022"/>
        <w:gridCol w:w="1002"/>
        <w:gridCol w:w="1185"/>
        <w:gridCol w:w="1066"/>
        <w:gridCol w:w="1026"/>
      </w:tblGrid>
      <w:tr w:rsidR="004F39DA" w:rsidRPr="00D41D11" w:rsidTr="00C8243E">
        <w:trPr>
          <w:trHeight w:val="109"/>
          <w:jc w:val="center"/>
        </w:trPr>
        <w:tc>
          <w:tcPr>
            <w:tcW w:w="406" w:type="dxa"/>
            <w:shd w:val="clear" w:color="auto" w:fill="D9D9D9"/>
            <w:vAlign w:val="center"/>
          </w:tcPr>
          <w:p w:rsidR="004F39DA" w:rsidRPr="00D41D11" w:rsidRDefault="004F39DA" w:rsidP="00C8243E">
            <w:pPr>
              <w:jc w:val="center"/>
              <w:rPr>
                <w:rFonts w:ascii="Arial Narrow" w:hAnsi="Arial Narrow"/>
                <w:b/>
                <w:sz w:val="16"/>
                <w:szCs w:val="16"/>
              </w:rPr>
            </w:pPr>
            <w:r w:rsidRPr="00D41D11">
              <w:rPr>
                <w:rFonts w:ascii="Arial Narrow" w:hAnsi="Arial Narrow"/>
                <w:b/>
                <w:sz w:val="16"/>
                <w:szCs w:val="16"/>
              </w:rPr>
              <w:t>ND</w:t>
            </w:r>
          </w:p>
        </w:tc>
        <w:tc>
          <w:tcPr>
            <w:tcW w:w="2684"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Tipologia di spesa</w:t>
            </w:r>
          </w:p>
        </w:tc>
        <w:tc>
          <w:tcPr>
            <w:tcW w:w="1096"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Rendiconto 2009 (impegni)</w:t>
            </w:r>
          </w:p>
        </w:tc>
        <w:tc>
          <w:tcPr>
            <w:tcW w:w="1022"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Riduzione disposta</w:t>
            </w:r>
          </w:p>
        </w:tc>
        <w:tc>
          <w:tcPr>
            <w:tcW w:w="1002"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Limite</w:t>
            </w:r>
          </w:p>
        </w:tc>
        <w:tc>
          <w:tcPr>
            <w:tcW w:w="1185"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2016</w:t>
            </w:r>
          </w:p>
        </w:tc>
        <w:tc>
          <w:tcPr>
            <w:tcW w:w="1066"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2017</w:t>
            </w:r>
          </w:p>
        </w:tc>
        <w:tc>
          <w:tcPr>
            <w:tcW w:w="1026"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2018</w:t>
            </w:r>
          </w:p>
        </w:tc>
      </w:tr>
      <w:tr w:rsidR="004F39DA" w:rsidRPr="00D41D11" w:rsidTr="00C8243E">
        <w:trPr>
          <w:trHeight w:val="303"/>
          <w:jc w:val="center"/>
        </w:trPr>
        <w:tc>
          <w:tcPr>
            <w:tcW w:w="406"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1</w:t>
            </w:r>
          </w:p>
        </w:tc>
        <w:tc>
          <w:tcPr>
            <w:tcW w:w="2684" w:type="dxa"/>
            <w:vAlign w:val="center"/>
          </w:tcPr>
          <w:p w:rsidR="004F39DA" w:rsidRPr="00D41D11" w:rsidRDefault="004F39DA" w:rsidP="00C8243E">
            <w:pPr>
              <w:jc w:val="both"/>
              <w:rPr>
                <w:rFonts w:ascii="Arial" w:hAnsi="Arial"/>
                <w:sz w:val="16"/>
                <w:szCs w:val="16"/>
              </w:rPr>
            </w:pPr>
            <w:r w:rsidRPr="00D41D11">
              <w:rPr>
                <w:rFonts w:ascii="Arial" w:hAnsi="Arial"/>
                <w:sz w:val="16"/>
                <w:szCs w:val="16"/>
              </w:rPr>
              <w:t>Studi e incarichi di consulenza</w:t>
            </w:r>
          </w:p>
        </w:tc>
        <w:tc>
          <w:tcPr>
            <w:tcW w:w="1096" w:type="dxa"/>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1.398,00</w:t>
            </w:r>
          </w:p>
        </w:tc>
        <w:tc>
          <w:tcPr>
            <w:tcW w:w="1022"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80%</w:t>
            </w:r>
          </w:p>
        </w:tc>
        <w:tc>
          <w:tcPr>
            <w:tcW w:w="1002" w:type="dxa"/>
            <w:vAlign w:val="center"/>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279,60</w:t>
            </w:r>
          </w:p>
        </w:tc>
        <w:tc>
          <w:tcPr>
            <w:tcW w:w="1185"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c>
          <w:tcPr>
            <w:tcW w:w="106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c>
          <w:tcPr>
            <w:tcW w:w="102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r>
      <w:tr w:rsidR="004F39DA" w:rsidRPr="00D41D11" w:rsidTr="00C8243E">
        <w:trPr>
          <w:trHeight w:val="343"/>
          <w:jc w:val="center"/>
        </w:trPr>
        <w:tc>
          <w:tcPr>
            <w:tcW w:w="406"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2</w:t>
            </w:r>
          </w:p>
        </w:tc>
        <w:tc>
          <w:tcPr>
            <w:tcW w:w="2684" w:type="dxa"/>
            <w:vAlign w:val="center"/>
          </w:tcPr>
          <w:p w:rsidR="004F39DA" w:rsidRPr="00D41D11" w:rsidRDefault="004F39DA" w:rsidP="00C8243E">
            <w:pPr>
              <w:jc w:val="both"/>
              <w:rPr>
                <w:rFonts w:ascii="Arial" w:hAnsi="Arial"/>
                <w:sz w:val="16"/>
                <w:szCs w:val="16"/>
              </w:rPr>
            </w:pPr>
            <w:r w:rsidRPr="00D41D11">
              <w:rPr>
                <w:rFonts w:ascii="Arial" w:hAnsi="Arial"/>
                <w:sz w:val="16"/>
                <w:szCs w:val="16"/>
              </w:rPr>
              <w:t>Relazioni pubbliche, mostre, pubblicità e rappresentanza</w:t>
            </w:r>
          </w:p>
        </w:tc>
        <w:tc>
          <w:tcPr>
            <w:tcW w:w="1096" w:type="dxa"/>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8.979,09</w:t>
            </w:r>
          </w:p>
        </w:tc>
        <w:tc>
          <w:tcPr>
            <w:tcW w:w="1022"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80%</w:t>
            </w:r>
          </w:p>
        </w:tc>
        <w:tc>
          <w:tcPr>
            <w:tcW w:w="1002" w:type="dxa"/>
            <w:vAlign w:val="center"/>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1.795,82</w:t>
            </w:r>
          </w:p>
        </w:tc>
        <w:tc>
          <w:tcPr>
            <w:tcW w:w="1185"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473,30</w:t>
            </w:r>
          </w:p>
        </w:tc>
        <w:tc>
          <w:tcPr>
            <w:tcW w:w="106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473,30</w:t>
            </w:r>
          </w:p>
        </w:tc>
        <w:tc>
          <w:tcPr>
            <w:tcW w:w="102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473,30</w:t>
            </w:r>
          </w:p>
        </w:tc>
      </w:tr>
      <w:tr w:rsidR="004F39DA" w:rsidRPr="00D41D11" w:rsidTr="00C8243E">
        <w:trPr>
          <w:trHeight w:val="231"/>
          <w:jc w:val="center"/>
        </w:trPr>
        <w:tc>
          <w:tcPr>
            <w:tcW w:w="406"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3</w:t>
            </w:r>
          </w:p>
        </w:tc>
        <w:tc>
          <w:tcPr>
            <w:tcW w:w="2684" w:type="dxa"/>
            <w:vAlign w:val="center"/>
          </w:tcPr>
          <w:p w:rsidR="004F39DA" w:rsidRPr="00D41D11" w:rsidRDefault="004F39DA" w:rsidP="00C8243E">
            <w:pPr>
              <w:jc w:val="both"/>
              <w:rPr>
                <w:rFonts w:ascii="Arial" w:hAnsi="Arial"/>
                <w:sz w:val="16"/>
                <w:szCs w:val="16"/>
              </w:rPr>
            </w:pPr>
            <w:r w:rsidRPr="00D41D11">
              <w:rPr>
                <w:rFonts w:ascii="Arial" w:hAnsi="Arial"/>
                <w:sz w:val="16"/>
                <w:szCs w:val="16"/>
              </w:rPr>
              <w:t>Missioni</w:t>
            </w:r>
          </w:p>
        </w:tc>
        <w:tc>
          <w:tcPr>
            <w:tcW w:w="1096" w:type="dxa"/>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2.385,02</w:t>
            </w:r>
          </w:p>
        </w:tc>
        <w:tc>
          <w:tcPr>
            <w:tcW w:w="1022"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50%</w:t>
            </w:r>
          </w:p>
        </w:tc>
        <w:tc>
          <w:tcPr>
            <w:tcW w:w="1002" w:type="dxa"/>
            <w:vAlign w:val="center"/>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1.192,51</w:t>
            </w:r>
          </w:p>
        </w:tc>
        <w:tc>
          <w:tcPr>
            <w:tcW w:w="1185"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1.000,00</w:t>
            </w:r>
          </w:p>
        </w:tc>
        <w:tc>
          <w:tcPr>
            <w:tcW w:w="106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1.000,00</w:t>
            </w:r>
          </w:p>
        </w:tc>
        <w:tc>
          <w:tcPr>
            <w:tcW w:w="102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1.000,00</w:t>
            </w:r>
          </w:p>
        </w:tc>
      </w:tr>
      <w:tr w:rsidR="004F39DA" w:rsidRPr="00D41D11" w:rsidTr="00C8243E">
        <w:trPr>
          <w:trHeight w:val="208"/>
          <w:jc w:val="center"/>
        </w:trPr>
        <w:tc>
          <w:tcPr>
            <w:tcW w:w="406"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4</w:t>
            </w:r>
          </w:p>
        </w:tc>
        <w:tc>
          <w:tcPr>
            <w:tcW w:w="2684" w:type="dxa"/>
            <w:vAlign w:val="center"/>
          </w:tcPr>
          <w:p w:rsidR="004F39DA" w:rsidRPr="00D41D11" w:rsidRDefault="004F39DA" w:rsidP="00C8243E">
            <w:pPr>
              <w:jc w:val="both"/>
              <w:rPr>
                <w:rFonts w:ascii="Arial" w:hAnsi="Arial"/>
                <w:sz w:val="16"/>
                <w:szCs w:val="16"/>
              </w:rPr>
            </w:pPr>
            <w:r w:rsidRPr="00D41D11">
              <w:rPr>
                <w:rFonts w:ascii="Arial" w:hAnsi="Arial"/>
                <w:sz w:val="16"/>
                <w:szCs w:val="16"/>
              </w:rPr>
              <w:t>Formazione</w:t>
            </w:r>
          </w:p>
        </w:tc>
        <w:tc>
          <w:tcPr>
            <w:tcW w:w="1096" w:type="dxa"/>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4.405,81</w:t>
            </w:r>
          </w:p>
        </w:tc>
        <w:tc>
          <w:tcPr>
            <w:tcW w:w="1022"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50%</w:t>
            </w:r>
          </w:p>
        </w:tc>
        <w:tc>
          <w:tcPr>
            <w:tcW w:w="1002" w:type="dxa"/>
            <w:vAlign w:val="center"/>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2.202,91</w:t>
            </w:r>
          </w:p>
        </w:tc>
        <w:tc>
          <w:tcPr>
            <w:tcW w:w="1185"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2.202,91</w:t>
            </w:r>
          </w:p>
        </w:tc>
        <w:tc>
          <w:tcPr>
            <w:tcW w:w="106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2.202,91</w:t>
            </w:r>
          </w:p>
        </w:tc>
        <w:tc>
          <w:tcPr>
            <w:tcW w:w="102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2.202,91</w:t>
            </w:r>
          </w:p>
        </w:tc>
      </w:tr>
      <w:tr w:rsidR="004F39DA" w:rsidRPr="00D41D11" w:rsidTr="00C8243E">
        <w:trPr>
          <w:trHeight w:val="274"/>
          <w:jc w:val="center"/>
        </w:trPr>
        <w:tc>
          <w:tcPr>
            <w:tcW w:w="406"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5</w:t>
            </w:r>
          </w:p>
        </w:tc>
        <w:tc>
          <w:tcPr>
            <w:tcW w:w="2684" w:type="dxa"/>
            <w:vAlign w:val="center"/>
          </w:tcPr>
          <w:p w:rsidR="004F39DA" w:rsidRPr="00D41D11" w:rsidRDefault="004F39DA" w:rsidP="00C8243E">
            <w:pPr>
              <w:jc w:val="both"/>
              <w:rPr>
                <w:rFonts w:ascii="Arial" w:hAnsi="Arial"/>
                <w:sz w:val="16"/>
                <w:szCs w:val="16"/>
              </w:rPr>
            </w:pPr>
            <w:r w:rsidRPr="00D41D11">
              <w:rPr>
                <w:rFonts w:ascii="Arial" w:hAnsi="Arial"/>
                <w:sz w:val="16"/>
                <w:szCs w:val="16"/>
              </w:rPr>
              <w:t>Sponsorizzazioni</w:t>
            </w:r>
          </w:p>
        </w:tc>
        <w:tc>
          <w:tcPr>
            <w:tcW w:w="1096" w:type="dxa"/>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0,00</w:t>
            </w:r>
          </w:p>
        </w:tc>
        <w:tc>
          <w:tcPr>
            <w:tcW w:w="1022"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100%</w:t>
            </w:r>
          </w:p>
        </w:tc>
        <w:tc>
          <w:tcPr>
            <w:tcW w:w="1002" w:type="dxa"/>
            <w:vAlign w:val="center"/>
          </w:tcPr>
          <w:p w:rsidR="004F39DA" w:rsidRPr="00D41D11" w:rsidRDefault="004F39DA" w:rsidP="00C8243E">
            <w:pPr>
              <w:spacing w:line="280" w:lineRule="atLeast"/>
              <w:jc w:val="right"/>
              <w:rPr>
                <w:rFonts w:ascii="Arial" w:hAnsi="Arial"/>
                <w:sz w:val="16"/>
                <w:szCs w:val="16"/>
              </w:rPr>
            </w:pPr>
            <w:r w:rsidRPr="00D41D11">
              <w:rPr>
                <w:rFonts w:ascii="Arial" w:hAnsi="Arial"/>
                <w:sz w:val="16"/>
                <w:szCs w:val="16"/>
              </w:rPr>
              <w:t>0,00</w:t>
            </w:r>
          </w:p>
        </w:tc>
        <w:tc>
          <w:tcPr>
            <w:tcW w:w="1185"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c>
          <w:tcPr>
            <w:tcW w:w="106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c>
          <w:tcPr>
            <w:tcW w:w="102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r>
      <w:tr w:rsidR="004F39DA" w:rsidRPr="00D41D11" w:rsidTr="00C8243E">
        <w:trPr>
          <w:trHeight w:val="50"/>
          <w:jc w:val="center"/>
        </w:trPr>
        <w:tc>
          <w:tcPr>
            <w:tcW w:w="3090" w:type="dxa"/>
            <w:gridSpan w:val="2"/>
            <w:tcBorders>
              <w:left w:val="nil"/>
              <w:bottom w:val="nil"/>
              <w:right w:val="nil"/>
            </w:tcBorders>
            <w:vAlign w:val="center"/>
          </w:tcPr>
          <w:p w:rsidR="004F39DA" w:rsidRPr="00A706A3" w:rsidRDefault="004F39DA" w:rsidP="00C8243E">
            <w:pPr>
              <w:pStyle w:val="Heading2"/>
              <w:rPr>
                <w:rFonts w:cs="Arial"/>
                <w:sz w:val="16"/>
                <w:szCs w:val="16"/>
              </w:rPr>
            </w:pPr>
            <w:r w:rsidRPr="00A706A3">
              <w:rPr>
                <w:rFonts w:cs="Arial"/>
                <w:sz w:val="16"/>
                <w:szCs w:val="16"/>
              </w:rPr>
              <w:t>TOTALI</w:t>
            </w:r>
          </w:p>
        </w:tc>
        <w:tc>
          <w:tcPr>
            <w:tcW w:w="1096"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17.167,92</w:t>
            </w:r>
          </w:p>
        </w:tc>
        <w:tc>
          <w:tcPr>
            <w:tcW w:w="1022" w:type="dxa"/>
            <w:tcBorders>
              <w:bottom w:val="nil"/>
            </w:tcBorders>
            <w:vAlign w:val="center"/>
          </w:tcPr>
          <w:p w:rsidR="004F39DA" w:rsidRPr="00D41D11" w:rsidRDefault="004F39DA" w:rsidP="00C8243E">
            <w:pPr>
              <w:spacing w:line="280" w:lineRule="atLeast"/>
              <w:jc w:val="center"/>
              <w:rPr>
                <w:rFonts w:ascii="Arial" w:hAnsi="Arial"/>
                <w:sz w:val="16"/>
                <w:szCs w:val="16"/>
              </w:rPr>
            </w:pPr>
          </w:p>
        </w:tc>
        <w:tc>
          <w:tcPr>
            <w:tcW w:w="1002"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5.470,84</w:t>
            </w:r>
          </w:p>
        </w:tc>
        <w:tc>
          <w:tcPr>
            <w:tcW w:w="1185"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3.676,21</w:t>
            </w:r>
          </w:p>
        </w:tc>
        <w:tc>
          <w:tcPr>
            <w:tcW w:w="1066"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3.676,21</w:t>
            </w:r>
          </w:p>
        </w:tc>
        <w:tc>
          <w:tcPr>
            <w:tcW w:w="1026"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3.676,21</w:t>
            </w:r>
          </w:p>
        </w:tc>
      </w:tr>
      <w:tr w:rsidR="004F39DA" w:rsidRPr="00D41D11" w:rsidTr="00C8243E">
        <w:trPr>
          <w:trHeight w:val="50"/>
          <w:jc w:val="center"/>
        </w:trPr>
        <w:tc>
          <w:tcPr>
            <w:tcW w:w="6210" w:type="dxa"/>
            <w:gridSpan w:val="5"/>
            <w:tcBorders>
              <w:top w:val="nil"/>
              <w:left w:val="nil"/>
              <w:bottom w:val="nil"/>
            </w:tcBorders>
            <w:vAlign w:val="center"/>
          </w:tcPr>
          <w:p w:rsidR="004F39DA" w:rsidRPr="00D41D11" w:rsidRDefault="004F39DA" w:rsidP="00C8243E">
            <w:pPr>
              <w:spacing w:line="280" w:lineRule="atLeast"/>
              <w:jc w:val="right"/>
              <w:rPr>
                <w:rFonts w:ascii="Arial" w:hAnsi="Arial" w:cs="Arial"/>
                <w:b/>
                <w:sz w:val="16"/>
                <w:szCs w:val="16"/>
              </w:rPr>
            </w:pPr>
          </w:p>
        </w:tc>
        <w:tc>
          <w:tcPr>
            <w:tcW w:w="1185" w:type="dxa"/>
            <w:vAlign w:val="center"/>
          </w:tcPr>
          <w:p w:rsidR="004F39DA" w:rsidRPr="00D41D11" w:rsidRDefault="004F39DA" w:rsidP="00C8243E">
            <w:pPr>
              <w:spacing w:line="280" w:lineRule="atLeast"/>
              <w:jc w:val="center"/>
              <w:rPr>
                <w:rFonts w:ascii="Arial" w:hAnsi="Arial"/>
                <w:sz w:val="16"/>
                <w:szCs w:val="16"/>
              </w:rPr>
            </w:pPr>
          </w:p>
        </w:tc>
        <w:tc>
          <w:tcPr>
            <w:tcW w:w="1066" w:type="dxa"/>
            <w:vAlign w:val="center"/>
          </w:tcPr>
          <w:p w:rsidR="004F39DA" w:rsidRPr="00D41D11" w:rsidRDefault="004F39DA" w:rsidP="00C8243E">
            <w:pPr>
              <w:spacing w:line="280" w:lineRule="atLeast"/>
              <w:jc w:val="center"/>
              <w:rPr>
                <w:rFonts w:ascii="Arial" w:hAnsi="Arial"/>
                <w:sz w:val="16"/>
                <w:szCs w:val="16"/>
              </w:rPr>
            </w:pPr>
          </w:p>
        </w:tc>
        <w:tc>
          <w:tcPr>
            <w:tcW w:w="1026" w:type="dxa"/>
            <w:vAlign w:val="center"/>
          </w:tcPr>
          <w:p w:rsidR="004F39DA" w:rsidRPr="00D41D11" w:rsidRDefault="004F39DA" w:rsidP="00C8243E">
            <w:pPr>
              <w:spacing w:line="280" w:lineRule="atLeast"/>
              <w:jc w:val="center"/>
              <w:rPr>
                <w:rFonts w:ascii="Arial" w:hAnsi="Arial"/>
                <w:sz w:val="16"/>
                <w:szCs w:val="16"/>
              </w:rPr>
            </w:pPr>
          </w:p>
        </w:tc>
      </w:tr>
    </w:tbl>
    <w:p w:rsidR="004F39DA" w:rsidRDefault="004F39DA" w:rsidP="003D76D9">
      <w:pPr>
        <w:pStyle w:val="BodyText3"/>
        <w:spacing w:before="120"/>
        <w:rPr>
          <w:rFonts w:cs="Arial"/>
          <w:sz w:val="22"/>
          <w:szCs w:val="22"/>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
        <w:gridCol w:w="2684"/>
        <w:gridCol w:w="1096"/>
        <w:gridCol w:w="1022"/>
        <w:gridCol w:w="1002"/>
        <w:gridCol w:w="1185"/>
        <w:gridCol w:w="1066"/>
        <w:gridCol w:w="1026"/>
      </w:tblGrid>
      <w:tr w:rsidR="004F39DA" w:rsidRPr="00D41D11" w:rsidTr="00C8243E">
        <w:trPr>
          <w:trHeight w:val="109"/>
          <w:jc w:val="center"/>
        </w:trPr>
        <w:tc>
          <w:tcPr>
            <w:tcW w:w="406" w:type="dxa"/>
            <w:shd w:val="clear" w:color="auto" w:fill="D9D9D9"/>
            <w:vAlign w:val="center"/>
          </w:tcPr>
          <w:p w:rsidR="004F39DA" w:rsidRPr="00D41D11" w:rsidRDefault="004F39DA" w:rsidP="00C8243E">
            <w:pPr>
              <w:jc w:val="center"/>
              <w:rPr>
                <w:rFonts w:ascii="Arial Narrow" w:hAnsi="Arial Narrow"/>
                <w:b/>
                <w:sz w:val="16"/>
                <w:szCs w:val="16"/>
              </w:rPr>
            </w:pPr>
            <w:r w:rsidRPr="00D41D11">
              <w:rPr>
                <w:rFonts w:ascii="Arial Narrow" w:hAnsi="Arial Narrow"/>
                <w:b/>
                <w:sz w:val="16"/>
                <w:szCs w:val="16"/>
              </w:rPr>
              <w:t>ND</w:t>
            </w:r>
          </w:p>
        </w:tc>
        <w:tc>
          <w:tcPr>
            <w:tcW w:w="2684"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Tipologia di spesa</w:t>
            </w:r>
          </w:p>
        </w:tc>
        <w:tc>
          <w:tcPr>
            <w:tcW w:w="1096"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Rendiconto 2010-2011</w:t>
            </w:r>
          </w:p>
          <w:p w:rsidR="004F39DA" w:rsidRPr="00D41D11" w:rsidRDefault="004F39DA" w:rsidP="00C8243E">
            <w:pPr>
              <w:jc w:val="center"/>
              <w:rPr>
                <w:rFonts w:ascii="Arial" w:hAnsi="Arial"/>
                <w:b/>
                <w:sz w:val="16"/>
                <w:szCs w:val="16"/>
              </w:rPr>
            </w:pPr>
            <w:r w:rsidRPr="00D41D11">
              <w:rPr>
                <w:rFonts w:ascii="Arial" w:hAnsi="Arial"/>
                <w:b/>
                <w:sz w:val="16"/>
                <w:szCs w:val="16"/>
              </w:rPr>
              <w:t>(impegni)</w:t>
            </w:r>
          </w:p>
        </w:tc>
        <w:tc>
          <w:tcPr>
            <w:tcW w:w="1022"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Riduzione disposta</w:t>
            </w:r>
          </w:p>
        </w:tc>
        <w:tc>
          <w:tcPr>
            <w:tcW w:w="1002"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Limite 2016</w:t>
            </w:r>
          </w:p>
        </w:tc>
        <w:tc>
          <w:tcPr>
            <w:tcW w:w="1185"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2016</w:t>
            </w:r>
          </w:p>
        </w:tc>
        <w:tc>
          <w:tcPr>
            <w:tcW w:w="1066"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2017</w:t>
            </w:r>
          </w:p>
        </w:tc>
        <w:tc>
          <w:tcPr>
            <w:tcW w:w="1026"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2018</w:t>
            </w:r>
          </w:p>
        </w:tc>
      </w:tr>
      <w:tr w:rsidR="004F39DA" w:rsidRPr="00D41D11" w:rsidTr="00C8243E">
        <w:trPr>
          <w:trHeight w:val="303"/>
          <w:jc w:val="center"/>
        </w:trPr>
        <w:tc>
          <w:tcPr>
            <w:tcW w:w="406"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1</w:t>
            </w:r>
          </w:p>
        </w:tc>
        <w:tc>
          <w:tcPr>
            <w:tcW w:w="2684" w:type="dxa"/>
            <w:vAlign w:val="center"/>
          </w:tcPr>
          <w:p w:rsidR="004F39DA" w:rsidRPr="00D41D11" w:rsidRDefault="004F39DA" w:rsidP="00C8243E">
            <w:pPr>
              <w:jc w:val="both"/>
              <w:rPr>
                <w:rFonts w:ascii="Arial" w:hAnsi="Arial"/>
                <w:sz w:val="16"/>
                <w:szCs w:val="16"/>
              </w:rPr>
            </w:pPr>
            <w:r w:rsidRPr="00D41D11">
              <w:rPr>
                <w:rFonts w:ascii="Arial" w:hAnsi="Arial"/>
                <w:sz w:val="16"/>
                <w:szCs w:val="16"/>
              </w:rPr>
              <w:t>Mobili e arredi</w:t>
            </w:r>
          </w:p>
        </w:tc>
        <w:tc>
          <w:tcPr>
            <w:tcW w:w="1096" w:type="dxa"/>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384,65</w:t>
            </w:r>
          </w:p>
        </w:tc>
        <w:tc>
          <w:tcPr>
            <w:tcW w:w="1022"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80%</w:t>
            </w:r>
          </w:p>
        </w:tc>
        <w:tc>
          <w:tcPr>
            <w:tcW w:w="1002"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76,93</w:t>
            </w:r>
          </w:p>
        </w:tc>
        <w:tc>
          <w:tcPr>
            <w:tcW w:w="1185" w:type="dxa"/>
            <w:vAlign w:val="center"/>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c>
          <w:tcPr>
            <w:tcW w:w="1066" w:type="dxa"/>
          </w:tcPr>
          <w:p w:rsidR="004F39DA" w:rsidRPr="00D41D11" w:rsidRDefault="004F39DA" w:rsidP="00C8243E">
            <w:pPr>
              <w:spacing w:line="280" w:lineRule="atLeast"/>
              <w:jc w:val="center"/>
              <w:rPr>
                <w:rFonts w:ascii="Arial" w:hAnsi="Arial"/>
                <w:sz w:val="16"/>
                <w:szCs w:val="16"/>
              </w:rPr>
            </w:pPr>
            <w:r>
              <w:rPr>
                <w:rFonts w:ascii="Arial" w:hAnsi="Arial"/>
                <w:sz w:val="16"/>
                <w:szCs w:val="16"/>
              </w:rPr>
              <w:t>0,00</w:t>
            </w:r>
          </w:p>
        </w:tc>
        <w:tc>
          <w:tcPr>
            <w:tcW w:w="1026" w:type="dxa"/>
          </w:tcPr>
          <w:p w:rsidR="004F39DA" w:rsidRPr="00D41D11" w:rsidRDefault="004F39DA" w:rsidP="00C8243E">
            <w:pPr>
              <w:spacing w:line="280" w:lineRule="atLeast"/>
              <w:jc w:val="center"/>
              <w:rPr>
                <w:rFonts w:ascii="Arial" w:hAnsi="Arial"/>
                <w:sz w:val="16"/>
                <w:szCs w:val="16"/>
              </w:rPr>
            </w:pPr>
          </w:p>
        </w:tc>
      </w:tr>
      <w:tr w:rsidR="004F39DA" w:rsidRPr="00D41D11" w:rsidTr="00C8243E">
        <w:trPr>
          <w:trHeight w:val="50"/>
          <w:jc w:val="center"/>
        </w:trPr>
        <w:tc>
          <w:tcPr>
            <w:tcW w:w="3090" w:type="dxa"/>
            <w:gridSpan w:val="2"/>
            <w:tcBorders>
              <w:left w:val="nil"/>
              <w:bottom w:val="nil"/>
              <w:right w:val="nil"/>
            </w:tcBorders>
            <w:vAlign w:val="center"/>
          </w:tcPr>
          <w:p w:rsidR="004F39DA" w:rsidRPr="00A706A3" w:rsidRDefault="004F39DA" w:rsidP="00C8243E">
            <w:pPr>
              <w:pStyle w:val="Heading2"/>
              <w:rPr>
                <w:rFonts w:cs="Arial"/>
                <w:sz w:val="16"/>
                <w:szCs w:val="16"/>
              </w:rPr>
            </w:pPr>
            <w:r w:rsidRPr="00A706A3">
              <w:rPr>
                <w:rFonts w:cs="Arial"/>
                <w:sz w:val="16"/>
                <w:szCs w:val="16"/>
              </w:rPr>
              <w:t>TOTALI</w:t>
            </w:r>
          </w:p>
        </w:tc>
        <w:tc>
          <w:tcPr>
            <w:tcW w:w="1096" w:type="dxa"/>
            <w:vAlign w:val="center"/>
          </w:tcPr>
          <w:p w:rsidR="004F39DA" w:rsidRPr="00D41D11" w:rsidRDefault="004F39DA" w:rsidP="00C8243E">
            <w:pPr>
              <w:spacing w:line="280" w:lineRule="atLeast"/>
              <w:jc w:val="center"/>
              <w:rPr>
                <w:rFonts w:ascii="Arial" w:hAnsi="Arial"/>
                <w:sz w:val="16"/>
                <w:szCs w:val="16"/>
              </w:rPr>
            </w:pPr>
          </w:p>
        </w:tc>
        <w:tc>
          <w:tcPr>
            <w:tcW w:w="1022" w:type="dxa"/>
            <w:tcBorders>
              <w:bottom w:val="nil"/>
            </w:tcBorders>
            <w:vAlign w:val="center"/>
          </w:tcPr>
          <w:p w:rsidR="004F39DA" w:rsidRPr="00D41D11" w:rsidRDefault="004F39DA" w:rsidP="00C8243E">
            <w:pPr>
              <w:spacing w:line="280" w:lineRule="atLeast"/>
              <w:jc w:val="center"/>
              <w:rPr>
                <w:rFonts w:ascii="Arial" w:hAnsi="Arial"/>
                <w:sz w:val="16"/>
                <w:szCs w:val="16"/>
              </w:rPr>
            </w:pPr>
          </w:p>
        </w:tc>
        <w:tc>
          <w:tcPr>
            <w:tcW w:w="1002" w:type="dxa"/>
            <w:vAlign w:val="center"/>
          </w:tcPr>
          <w:p w:rsidR="004F39DA" w:rsidRPr="00D41D11" w:rsidRDefault="004F39DA" w:rsidP="00C8243E">
            <w:pPr>
              <w:spacing w:line="280" w:lineRule="atLeast"/>
              <w:jc w:val="center"/>
              <w:rPr>
                <w:rFonts w:ascii="Arial" w:hAnsi="Arial"/>
                <w:sz w:val="16"/>
                <w:szCs w:val="16"/>
              </w:rPr>
            </w:pPr>
          </w:p>
        </w:tc>
        <w:tc>
          <w:tcPr>
            <w:tcW w:w="1185" w:type="dxa"/>
            <w:vAlign w:val="center"/>
          </w:tcPr>
          <w:p w:rsidR="004F39DA" w:rsidRPr="00D41D11" w:rsidRDefault="004F39DA" w:rsidP="00C8243E">
            <w:pPr>
              <w:spacing w:line="280" w:lineRule="atLeast"/>
              <w:jc w:val="center"/>
              <w:rPr>
                <w:rFonts w:ascii="Arial" w:hAnsi="Arial"/>
                <w:sz w:val="16"/>
                <w:szCs w:val="16"/>
              </w:rPr>
            </w:pPr>
          </w:p>
        </w:tc>
        <w:tc>
          <w:tcPr>
            <w:tcW w:w="1066" w:type="dxa"/>
            <w:vAlign w:val="center"/>
          </w:tcPr>
          <w:p w:rsidR="004F39DA" w:rsidRPr="00D41D11" w:rsidRDefault="004F39DA" w:rsidP="00C8243E">
            <w:pPr>
              <w:spacing w:line="280" w:lineRule="atLeast"/>
              <w:jc w:val="center"/>
              <w:rPr>
                <w:rFonts w:ascii="Arial" w:hAnsi="Arial"/>
                <w:sz w:val="16"/>
                <w:szCs w:val="16"/>
              </w:rPr>
            </w:pPr>
          </w:p>
        </w:tc>
        <w:tc>
          <w:tcPr>
            <w:tcW w:w="1026" w:type="dxa"/>
            <w:vAlign w:val="center"/>
          </w:tcPr>
          <w:p w:rsidR="004F39DA" w:rsidRPr="00D41D11" w:rsidRDefault="004F39DA" w:rsidP="00C8243E">
            <w:pPr>
              <w:spacing w:line="280" w:lineRule="atLeast"/>
              <w:jc w:val="center"/>
              <w:rPr>
                <w:rFonts w:ascii="Arial" w:hAnsi="Arial"/>
                <w:sz w:val="16"/>
                <w:szCs w:val="16"/>
              </w:rPr>
            </w:pPr>
          </w:p>
        </w:tc>
      </w:tr>
    </w:tbl>
    <w:p w:rsidR="004F39DA" w:rsidRDefault="004F39DA" w:rsidP="003D76D9">
      <w:pPr>
        <w:pStyle w:val="BodyText3"/>
        <w:spacing w:before="120"/>
        <w:rPr>
          <w:rFonts w:cs="Arial"/>
          <w:sz w:val="22"/>
          <w:szCs w:val="22"/>
        </w:rPr>
      </w:pPr>
    </w:p>
    <w:tbl>
      <w:tblPr>
        <w:tblW w:w="9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2494"/>
        <w:gridCol w:w="1096"/>
        <w:gridCol w:w="1083"/>
        <w:gridCol w:w="1159"/>
        <w:gridCol w:w="1113"/>
        <w:gridCol w:w="1026"/>
        <w:gridCol w:w="1078"/>
      </w:tblGrid>
      <w:tr w:rsidR="004F39DA" w:rsidRPr="00D41D11" w:rsidTr="00C8243E">
        <w:trPr>
          <w:trHeight w:val="109"/>
        </w:trPr>
        <w:tc>
          <w:tcPr>
            <w:tcW w:w="548" w:type="dxa"/>
            <w:shd w:val="clear" w:color="auto" w:fill="D9D9D9"/>
            <w:vAlign w:val="center"/>
          </w:tcPr>
          <w:p w:rsidR="004F39DA" w:rsidRPr="00D41D11" w:rsidRDefault="004F39DA" w:rsidP="00C8243E">
            <w:pPr>
              <w:jc w:val="center"/>
              <w:rPr>
                <w:rFonts w:ascii="Arial Narrow" w:hAnsi="Arial Narrow"/>
                <w:b/>
                <w:sz w:val="16"/>
                <w:szCs w:val="16"/>
              </w:rPr>
            </w:pPr>
            <w:r w:rsidRPr="00D41D11">
              <w:rPr>
                <w:rFonts w:ascii="Arial Narrow" w:hAnsi="Arial Narrow"/>
                <w:b/>
                <w:sz w:val="16"/>
                <w:szCs w:val="16"/>
              </w:rPr>
              <w:t>ND</w:t>
            </w:r>
          </w:p>
        </w:tc>
        <w:tc>
          <w:tcPr>
            <w:tcW w:w="2550"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Tipologia di spesa</w:t>
            </w:r>
          </w:p>
        </w:tc>
        <w:tc>
          <w:tcPr>
            <w:tcW w:w="1096"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Rendiconto 2011</w:t>
            </w:r>
          </w:p>
          <w:p w:rsidR="004F39DA" w:rsidRPr="00D41D11" w:rsidRDefault="004F39DA" w:rsidP="00C8243E">
            <w:pPr>
              <w:jc w:val="center"/>
              <w:rPr>
                <w:rFonts w:ascii="Arial" w:hAnsi="Arial"/>
                <w:b/>
                <w:sz w:val="16"/>
                <w:szCs w:val="16"/>
              </w:rPr>
            </w:pPr>
            <w:r w:rsidRPr="00D41D11">
              <w:rPr>
                <w:rFonts w:ascii="Arial" w:hAnsi="Arial"/>
                <w:b/>
                <w:sz w:val="16"/>
                <w:szCs w:val="16"/>
              </w:rPr>
              <w:t>(impegni)</w:t>
            </w:r>
          </w:p>
        </w:tc>
        <w:tc>
          <w:tcPr>
            <w:tcW w:w="1088"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Riduzione disposta</w:t>
            </w:r>
          </w:p>
        </w:tc>
        <w:tc>
          <w:tcPr>
            <w:tcW w:w="1174"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Limite 2016</w:t>
            </w:r>
          </w:p>
        </w:tc>
        <w:tc>
          <w:tcPr>
            <w:tcW w:w="1117"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2016</w:t>
            </w:r>
          </w:p>
        </w:tc>
        <w:tc>
          <w:tcPr>
            <w:tcW w:w="938"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2017</w:t>
            </w:r>
          </w:p>
        </w:tc>
        <w:tc>
          <w:tcPr>
            <w:tcW w:w="1080" w:type="dxa"/>
            <w:shd w:val="clear" w:color="auto" w:fill="D9D9D9"/>
            <w:vAlign w:val="center"/>
          </w:tcPr>
          <w:p w:rsidR="004F39DA" w:rsidRPr="00D41D11" w:rsidRDefault="004F39DA" w:rsidP="00C8243E">
            <w:pPr>
              <w:jc w:val="center"/>
              <w:rPr>
                <w:rFonts w:ascii="Arial" w:hAnsi="Arial"/>
                <w:b/>
                <w:sz w:val="16"/>
                <w:szCs w:val="16"/>
              </w:rPr>
            </w:pPr>
            <w:r w:rsidRPr="00D41D11">
              <w:rPr>
                <w:rFonts w:ascii="Arial" w:hAnsi="Arial"/>
                <w:b/>
                <w:sz w:val="16"/>
                <w:szCs w:val="16"/>
              </w:rPr>
              <w:t>Previsione 2018</w:t>
            </w:r>
          </w:p>
        </w:tc>
      </w:tr>
      <w:tr w:rsidR="004F39DA" w:rsidRPr="00D41D11" w:rsidTr="00C8243E">
        <w:trPr>
          <w:trHeight w:val="303"/>
        </w:trPr>
        <w:tc>
          <w:tcPr>
            <w:tcW w:w="548" w:type="dxa"/>
            <w:vAlign w:val="center"/>
          </w:tcPr>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1</w:t>
            </w:r>
          </w:p>
        </w:tc>
        <w:tc>
          <w:tcPr>
            <w:tcW w:w="2550" w:type="dxa"/>
            <w:vAlign w:val="center"/>
          </w:tcPr>
          <w:p w:rsidR="004F39DA" w:rsidRPr="00D41D11" w:rsidRDefault="004F39DA" w:rsidP="00C8243E">
            <w:pPr>
              <w:jc w:val="both"/>
              <w:rPr>
                <w:rFonts w:ascii="Arial" w:hAnsi="Arial"/>
                <w:sz w:val="16"/>
                <w:szCs w:val="16"/>
              </w:rPr>
            </w:pPr>
            <w:r w:rsidRPr="00D41D11">
              <w:rPr>
                <w:rFonts w:ascii="Arial" w:hAnsi="Arial"/>
                <w:sz w:val="16"/>
                <w:szCs w:val="16"/>
              </w:rPr>
              <w:t>Acquisto, manutenzione, noleggio ed esercizio di autovetture</w:t>
            </w:r>
          </w:p>
        </w:tc>
        <w:tc>
          <w:tcPr>
            <w:tcW w:w="1096" w:type="dxa"/>
          </w:tcPr>
          <w:p w:rsidR="004F39DA" w:rsidRPr="00D41D11" w:rsidRDefault="004F39DA" w:rsidP="00C8243E">
            <w:pPr>
              <w:spacing w:line="280" w:lineRule="atLeast"/>
              <w:jc w:val="center"/>
              <w:rPr>
                <w:rFonts w:ascii="Arial" w:hAnsi="Arial"/>
                <w:sz w:val="16"/>
                <w:szCs w:val="16"/>
              </w:rPr>
            </w:pPr>
          </w:p>
          <w:p w:rsidR="004F39DA" w:rsidRPr="00D41D11" w:rsidRDefault="004F39DA" w:rsidP="00C8243E">
            <w:pPr>
              <w:spacing w:line="280" w:lineRule="atLeast"/>
              <w:jc w:val="center"/>
              <w:rPr>
                <w:rFonts w:ascii="Arial" w:hAnsi="Arial"/>
                <w:sz w:val="16"/>
                <w:szCs w:val="16"/>
              </w:rPr>
            </w:pPr>
            <w:r w:rsidRPr="00D41D11">
              <w:rPr>
                <w:rFonts w:ascii="Arial" w:hAnsi="Arial"/>
                <w:sz w:val="16"/>
                <w:szCs w:val="16"/>
              </w:rPr>
              <w:t>6.931,59</w:t>
            </w:r>
          </w:p>
        </w:tc>
        <w:tc>
          <w:tcPr>
            <w:tcW w:w="1088" w:type="dxa"/>
            <w:vAlign w:val="center"/>
          </w:tcPr>
          <w:p w:rsidR="004F39DA" w:rsidRPr="00D41D11" w:rsidRDefault="004F39DA" w:rsidP="00C8243E">
            <w:pPr>
              <w:spacing w:line="280" w:lineRule="atLeast"/>
              <w:jc w:val="center"/>
              <w:rPr>
                <w:rFonts w:ascii="Arial" w:hAnsi="Arial"/>
                <w:sz w:val="16"/>
                <w:szCs w:val="16"/>
              </w:rPr>
            </w:pPr>
          </w:p>
          <w:p w:rsidR="004F39DA" w:rsidRPr="00D41D11" w:rsidRDefault="004F39DA" w:rsidP="00C8243E">
            <w:pPr>
              <w:spacing w:line="280" w:lineRule="atLeast"/>
              <w:jc w:val="center"/>
              <w:rPr>
                <w:rFonts w:ascii="Arial" w:hAnsi="Arial"/>
                <w:sz w:val="16"/>
                <w:szCs w:val="16"/>
              </w:rPr>
            </w:pPr>
            <w:r>
              <w:rPr>
                <w:rFonts w:ascii="Arial" w:hAnsi="Arial"/>
                <w:sz w:val="16"/>
                <w:szCs w:val="16"/>
              </w:rPr>
              <w:t>70%</w:t>
            </w:r>
          </w:p>
        </w:tc>
        <w:tc>
          <w:tcPr>
            <w:tcW w:w="1174" w:type="dxa"/>
          </w:tcPr>
          <w:p w:rsidR="004F39DA" w:rsidRPr="00D41D11" w:rsidRDefault="004F39DA" w:rsidP="00C8243E">
            <w:pPr>
              <w:spacing w:line="280" w:lineRule="atLeast"/>
              <w:jc w:val="center"/>
              <w:rPr>
                <w:rFonts w:ascii="Arial" w:hAnsi="Arial"/>
                <w:sz w:val="16"/>
                <w:szCs w:val="16"/>
              </w:rPr>
            </w:pPr>
          </w:p>
          <w:p w:rsidR="004F39DA" w:rsidRPr="00D41D11" w:rsidRDefault="004F39DA" w:rsidP="00C8243E">
            <w:pPr>
              <w:spacing w:line="280" w:lineRule="atLeast"/>
              <w:jc w:val="center"/>
              <w:rPr>
                <w:rFonts w:ascii="Arial" w:hAnsi="Arial"/>
                <w:sz w:val="16"/>
                <w:szCs w:val="16"/>
              </w:rPr>
            </w:pPr>
            <w:r>
              <w:rPr>
                <w:rFonts w:ascii="Arial" w:hAnsi="Arial"/>
                <w:sz w:val="16"/>
                <w:szCs w:val="16"/>
              </w:rPr>
              <w:t>2.079,48</w:t>
            </w:r>
          </w:p>
        </w:tc>
        <w:tc>
          <w:tcPr>
            <w:tcW w:w="1117" w:type="dxa"/>
            <w:vAlign w:val="center"/>
          </w:tcPr>
          <w:p w:rsidR="004F39DA" w:rsidRPr="00D41D11" w:rsidRDefault="004F39DA" w:rsidP="00C8243E">
            <w:pPr>
              <w:spacing w:line="280" w:lineRule="atLeast"/>
              <w:jc w:val="center"/>
              <w:rPr>
                <w:rFonts w:ascii="Arial" w:hAnsi="Arial"/>
                <w:sz w:val="16"/>
                <w:szCs w:val="16"/>
              </w:rPr>
            </w:pPr>
          </w:p>
          <w:p w:rsidR="004F39DA" w:rsidRPr="00D41D11" w:rsidRDefault="004F39DA" w:rsidP="00C8243E">
            <w:pPr>
              <w:spacing w:line="280" w:lineRule="atLeast"/>
              <w:jc w:val="center"/>
              <w:rPr>
                <w:rFonts w:ascii="Arial" w:hAnsi="Arial"/>
                <w:sz w:val="16"/>
                <w:szCs w:val="16"/>
              </w:rPr>
            </w:pPr>
            <w:r>
              <w:rPr>
                <w:rFonts w:ascii="Arial" w:hAnsi="Arial"/>
                <w:sz w:val="16"/>
                <w:szCs w:val="16"/>
              </w:rPr>
              <w:t>3.951,04</w:t>
            </w:r>
          </w:p>
        </w:tc>
        <w:tc>
          <w:tcPr>
            <w:tcW w:w="938" w:type="dxa"/>
            <w:vAlign w:val="center"/>
          </w:tcPr>
          <w:p w:rsidR="004F39DA" w:rsidRPr="00D41D11" w:rsidRDefault="004F39DA" w:rsidP="00C8243E">
            <w:pPr>
              <w:spacing w:line="280" w:lineRule="atLeast"/>
              <w:jc w:val="center"/>
              <w:rPr>
                <w:rFonts w:ascii="Arial" w:hAnsi="Arial"/>
                <w:sz w:val="16"/>
                <w:szCs w:val="16"/>
              </w:rPr>
            </w:pPr>
          </w:p>
          <w:p w:rsidR="004F39DA" w:rsidRPr="00D41D11" w:rsidRDefault="004F39DA" w:rsidP="00C8243E">
            <w:pPr>
              <w:spacing w:line="280" w:lineRule="atLeast"/>
              <w:jc w:val="center"/>
              <w:rPr>
                <w:rFonts w:ascii="Arial" w:hAnsi="Arial"/>
                <w:sz w:val="16"/>
                <w:szCs w:val="16"/>
              </w:rPr>
            </w:pPr>
            <w:r>
              <w:rPr>
                <w:rFonts w:ascii="Arial" w:hAnsi="Arial"/>
                <w:sz w:val="16"/>
                <w:szCs w:val="16"/>
              </w:rPr>
              <w:t>3.951,04</w:t>
            </w:r>
          </w:p>
        </w:tc>
        <w:tc>
          <w:tcPr>
            <w:tcW w:w="1080" w:type="dxa"/>
          </w:tcPr>
          <w:p w:rsidR="004F39DA" w:rsidRDefault="004F39DA" w:rsidP="00C8243E">
            <w:pPr>
              <w:spacing w:line="280" w:lineRule="atLeast"/>
              <w:jc w:val="center"/>
              <w:rPr>
                <w:rFonts w:ascii="Arial" w:hAnsi="Arial"/>
                <w:sz w:val="16"/>
                <w:szCs w:val="16"/>
              </w:rPr>
            </w:pPr>
          </w:p>
          <w:p w:rsidR="004F39DA" w:rsidRPr="00D41D11" w:rsidRDefault="004F39DA" w:rsidP="00C8243E">
            <w:pPr>
              <w:spacing w:line="280" w:lineRule="atLeast"/>
              <w:jc w:val="center"/>
              <w:rPr>
                <w:rFonts w:ascii="Arial" w:hAnsi="Arial"/>
                <w:sz w:val="16"/>
                <w:szCs w:val="16"/>
              </w:rPr>
            </w:pPr>
            <w:r>
              <w:rPr>
                <w:rFonts w:ascii="Arial" w:hAnsi="Arial"/>
                <w:sz w:val="16"/>
                <w:szCs w:val="16"/>
              </w:rPr>
              <w:t>3.951,04</w:t>
            </w:r>
          </w:p>
        </w:tc>
      </w:tr>
      <w:tr w:rsidR="004F39DA" w:rsidRPr="00D41D11" w:rsidTr="00C8243E">
        <w:trPr>
          <w:trHeight w:val="50"/>
        </w:trPr>
        <w:tc>
          <w:tcPr>
            <w:tcW w:w="3098" w:type="dxa"/>
            <w:gridSpan w:val="2"/>
            <w:tcBorders>
              <w:left w:val="nil"/>
              <w:bottom w:val="nil"/>
              <w:right w:val="nil"/>
            </w:tcBorders>
            <w:vAlign w:val="center"/>
          </w:tcPr>
          <w:p w:rsidR="004F39DA" w:rsidRPr="00A706A3" w:rsidRDefault="004F39DA" w:rsidP="00C8243E">
            <w:pPr>
              <w:pStyle w:val="Heading2"/>
              <w:rPr>
                <w:rFonts w:cs="Arial"/>
                <w:sz w:val="16"/>
                <w:szCs w:val="16"/>
              </w:rPr>
            </w:pPr>
            <w:r w:rsidRPr="00A706A3">
              <w:rPr>
                <w:rFonts w:cs="Arial"/>
                <w:sz w:val="16"/>
                <w:szCs w:val="16"/>
              </w:rPr>
              <w:t>TOTALI</w:t>
            </w:r>
          </w:p>
        </w:tc>
        <w:tc>
          <w:tcPr>
            <w:tcW w:w="1096" w:type="dxa"/>
            <w:vAlign w:val="center"/>
          </w:tcPr>
          <w:p w:rsidR="004F39DA" w:rsidRPr="00D41D11" w:rsidRDefault="004F39DA" w:rsidP="00C8243E">
            <w:pPr>
              <w:spacing w:line="280" w:lineRule="atLeast"/>
              <w:jc w:val="center"/>
              <w:rPr>
                <w:rFonts w:ascii="Arial" w:hAnsi="Arial"/>
                <w:sz w:val="16"/>
                <w:szCs w:val="16"/>
              </w:rPr>
            </w:pPr>
          </w:p>
        </w:tc>
        <w:tc>
          <w:tcPr>
            <w:tcW w:w="1088" w:type="dxa"/>
            <w:tcBorders>
              <w:bottom w:val="nil"/>
            </w:tcBorders>
            <w:vAlign w:val="center"/>
          </w:tcPr>
          <w:p w:rsidR="004F39DA" w:rsidRPr="00D41D11" w:rsidRDefault="004F39DA" w:rsidP="00C8243E">
            <w:pPr>
              <w:spacing w:line="280" w:lineRule="atLeast"/>
              <w:jc w:val="center"/>
              <w:rPr>
                <w:rFonts w:ascii="Arial" w:hAnsi="Arial"/>
                <w:sz w:val="16"/>
                <w:szCs w:val="16"/>
              </w:rPr>
            </w:pPr>
          </w:p>
        </w:tc>
        <w:tc>
          <w:tcPr>
            <w:tcW w:w="1174" w:type="dxa"/>
          </w:tcPr>
          <w:p w:rsidR="004F39DA" w:rsidRPr="00D41D11" w:rsidRDefault="004F39DA" w:rsidP="00C8243E">
            <w:pPr>
              <w:spacing w:line="280" w:lineRule="atLeast"/>
              <w:jc w:val="center"/>
              <w:rPr>
                <w:rFonts w:ascii="Arial" w:hAnsi="Arial"/>
                <w:sz w:val="16"/>
                <w:szCs w:val="16"/>
              </w:rPr>
            </w:pPr>
          </w:p>
        </w:tc>
        <w:tc>
          <w:tcPr>
            <w:tcW w:w="1117" w:type="dxa"/>
            <w:vAlign w:val="center"/>
          </w:tcPr>
          <w:p w:rsidR="004F39DA" w:rsidRPr="00D41D11" w:rsidRDefault="004F39DA" w:rsidP="00C8243E">
            <w:pPr>
              <w:spacing w:line="280" w:lineRule="atLeast"/>
              <w:jc w:val="center"/>
              <w:rPr>
                <w:rFonts w:ascii="Arial" w:hAnsi="Arial"/>
                <w:sz w:val="16"/>
                <w:szCs w:val="16"/>
              </w:rPr>
            </w:pPr>
          </w:p>
        </w:tc>
        <w:tc>
          <w:tcPr>
            <w:tcW w:w="938" w:type="dxa"/>
            <w:vAlign w:val="center"/>
          </w:tcPr>
          <w:p w:rsidR="004F39DA" w:rsidRPr="00D41D11" w:rsidRDefault="004F39DA" w:rsidP="00C8243E">
            <w:pPr>
              <w:spacing w:line="280" w:lineRule="atLeast"/>
              <w:jc w:val="center"/>
              <w:rPr>
                <w:rFonts w:ascii="Arial" w:hAnsi="Arial"/>
                <w:sz w:val="16"/>
                <w:szCs w:val="16"/>
              </w:rPr>
            </w:pPr>
          </w:p>
        </w:tc>
        <w:tc>
          <w:tcPr>
            <w:tcW w:w="1080" w:type="dxa"/>
          </w:tcPr>
          <w:p w:rsidR="004F39DA" w:rsidRPr="00D41D11" w:rsidRDefault="004F39DA" w:rsidP="00C8243E">
            <w:pPr>
              <w:spacing w:line="280" w:lineRule="atLeast"/>
              <w:jc w:val="center"/>
              <w:rPr>
                <w:rFonts w:ascii="Arial" w:hAnsi="Arial"/>
                <w:sz w:val="16"/>
                <w:szCs w:val="16"/>
              </w:rPr>
            </w:pPr>
          </w:p>
        </w:tc>
      </w:tr>
    </w:tbl>
    <w:p w:rsidR="004F39DA" w:rsidRDefault="004F39DA" w:rsidP="003D76D9">
      <w:pPr>
        <w:jc w:val="both"/>
        <w:rPr>
          <w:rFonts w:ascii="Arial" w:hAnsi="Arial" w:cs="Arial"/>
          <w:color w:val="4B89C7"/>
          <w:sz w:val="18"/>
          <w:szCs w:val="18"/>
          <w:u w:val="single"/>
        </w:rPr>
      </w:pPr>
    </w:p>
    <w:p w:rsidR="004F39DA" w:rsidRPr="0041625B" w:rsidRDefault="004F39DA" w:rsidP="003D76D9">
      <w:pPr>
        <w:jc w:val="both"/>
        <w:rPr>
          <w:rFonts w:ascii="Arial" w:hAnsi="Arial" w:cs="Arial"/>
          <w:color w:val="4B89C7"/>
          <w:sz w:val="18"/>
          <w:szCs w:val="18"/>
          <w:u w:val="single"/>
        </w:rPr>
      </w:pPr>
      <w:r w:rsidRPr="0041625B">
        <w:rPr>
          <w:rFonts w:ascii="Arial" w:hAnsi="Arial" w:cs="Arial"/>
          <w:color w:val="4B89C7"/>
          <w:sz w:val="18"/>
          <w:szCs w:val="18"/>
          <w:u w:val="single"/>
        </w:rPr>
        <w:t>La Corte costituzionale con sentenza 139/2012 e la Sezione Autonomie della Corte dei Conti con delibera 26 del 20/12/2013, hanno stabilito che deve essere rispettato il limite complessivo ed è consentito che lo stanziamento in bilancio fra le diverse tipologie avvenga in base alle necessità derivanti dalle attività istituzionali dell’ente.</w:t>
      </w:r>
    </w:p>
    <w:p w:rsidR="004F39DA" w:rsidRPr="00632A65" w:rsidRDefault="004F39DA" w:rsidP="003D76D9">
      <w:pPr>
        <w:jc w:val="both"/>
        <w:rPr>
          <w:rFonts w:ascii="Arial" w:hAnsi="Arial" w:cs="Arial"/>
          <w:sz w:val="20"/>
        </w:rPr>
      </w:pPr>
    </w:p>
    <w:p w:rsidR="004F39DA" w:rsidRPr="00632A65" w:rsidRDefault="004F39DA" w:rsidP="003D76D9">
      <w:pPr>
        <w:pStyle w:val="Heading3"/>
        <w:rPr>
          <w:szCs w:val="22"/>
        </w:rPr>
      </w:pPr>
      <w:bookmarkStart w:id="40" w:name="_Toc314835195"/>
      <w:r w:rsidRPr="00632A65">
        <w:rPr>
          <w:szCs w:val="22"/>
        </w:rPr>
        <w:t>Fondo crediti di dubbia esigibilità</w:t>
      </w:r>
      <w:bookmarkEnd w:id="40"/>
    </w:p>
    <w:p w:rsidR="004F39DA" w:rsidRPr="00632A65" w:rsidRDefault="004F39DA" w:rsidP="003D76D9">
      <w:pPr>
        <w:rPr>
          <w:rFonts w:ascii="Arial" w:hAnsi="Arial" w:cs="Arial"/>
          <w:sz w:val="22"/>
          <w:szCs w:val="22"/>
        </w:rPr>
      </w:pPr>
    </w:p>
    <w:p w:rsidR="004F39DA" w:rsidRPr="00632A65" w:rsidRDefault="004F39DA" w:rsidP="003D76D9">
      <w:pPr>
        <w:jc w:val="both"/>
        <w:rPr>
          <w:rFonts w:ascii="Arial" w:hAnsi="Arial" w:cs="Arial"/>
          <w:i/>
          <w:color w:val="365F91"/>
          <w:sz w:val="22"/>
          <w:szCs w:val="22"/>
        </w:rPr>
      </w:pPr>
      <w:r w:rsidRPr="00632A65">
        <w:rPr>
          <w:rFonts w:ascii="Arial" w:hAnsi="Arial" w:cs="Arial"/>
          <w:i/>
          <w:color w:val="365F91"/>
          <w:sz w:val="22"/>
          <w:szCs w:val="22"/>
        </w:rPr>
        <w:t>Il principio applicato 4/2, punto 3.3. prevede che</w:t>
      </w:r>
      <w:r w:rsidRPr="00632A65">
        <w:rPr>
          <w:rFonts w:ascii="Arial" w:hAnsi="Arial" w:cs="Arial"/>
          <w:b/>
          <w:i/>
          <w:color w:val="365F91"/>
          <w:sz w:val="22"/>
          <w:szCs w:val="22"/>
        </w:rPr>
        <w:t xml:space="preserve"> </w:t>
      </w:r>
      <w:r w:rsidRPr="00632A65">
        <w:rPr>
          <w:rFonts w:ascii="Arial" w:hAnsi="Arial" w:cs="Arial"/>
          <w:i/>
          <w:color w:val="365F91"/>
          <w:sz w:val="22"/>
          <w:szCs w:val="22"/>
        </w:rPr>
        <w:t xml:space="preserve">le entrate di dubbia e difficile esazione siano accertate per l’intero importo del credito anche, per le quali non è certa la riscossione integrale, quali le sanzioni amministrative al codice della strada, le rette per servizi pubblici a domanda, i proventi derivanti dalla lotta all’evasione, ecc.. </w:t>
      </w:r>
    </w:p>
    <w:p w:rsidR="004F39DA" w:rsidRPr="00632A65" w:rsidRDefault="004F39DA" w:rsidP="003D76D9">
      <w:pPr>
        <w:jc w:val="both"/>
        <w:rPr>
          <w:rFonts w:ascii="Arial" w:hAnsi="Arial" w:cs="Arial"/>
          <w:i/>
          <w:color w:val="365F91"/>
          <w:sz w:val="22"/>
          <w:szCs w:val="22"/>
        </w:rPr>
      </w:pPr>
      <w:r w:rsidRPr="00632A65">
        <w:rPr>
          <w:rFonts w:ascii="Arial" w:hAnsi="Arial" w:cs="Arial"/>
          <w:i/>
          <w:color w:val="365F91"/>
          <w:sz w:val="22"/>
          <w:szCs w:val="22"/>
        </w:rPr>
        <w:t>Per i crediti di dubbia e difficile esazione accertati nell’esercizio è effettuato un accantonamento al fondo crediti di dubbia esigibilità, vincolando una quota dell’avanzo di amministrazione. A tal fine è stanziata nel bilancio di previsione una apposita posta contabile, denominata “Accantonamento al fondo crediti di dubbia esigibilità” il cui ammontare è determinato in considerazione della dimensione degli stanziamenti relativi ai crediti che si prevede si formeranno nell’esercizio, della loro natura e dell’andamento del fenomeno negli ultimi cinque esercizi precedenti (la media del rapporto tra incassi e accertamenti per ciascuna tipologia di entrata).</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La dimostrazione della quota accantonata a FCDE nel bilancio 2016-2018 è evidenziata nei prospetti che seguono per singola tipologia di entrata. Il FCDE è determinato applicando all’importo complessivo degli stanziamenti di ciascuna delle entrate una percentuale pari al complemento a 100 delle medie calcolate come di seguito specificato. </w:t>
      </w:r>
    </w:p>
    <w:p w:rsidR="004F39DA" w:rsidRPr="00632A65" w:rsidRDefault="004F39DA" w:rsidP="0041625B">
      <w:pPr>
        <w:tabs>
          <w:tab w:val="left" w:pos="284"/>
        </w:tabs>
        <w:jc w:val="both"/>
        <w:rPr>
          <w:rFonts w:ascii="Arial" w:hAnsi="Arial" w:cs="Arial"/>
          <w:color w:val="17365D"/>
          <w:sz w:val="22"/>
          <w:szCs w:val="22"/>
        </w:rPr>
      </w:pPr>
      <w:r w:rsidRPr="00632A65">
        <w:rPr>
          <w:rFonts w:ascii="Arial" w:hAnsi="Arial" w:cs="Arial"/>
          <w:sz w:val="22"/>
          <w:szCs w:val="22"/>
        </w:rPr>
        <w:t xml:space="preserve">I calcoli sono stati effettuati applicando al rapporto tra gli incassi in c/competenza e gli accertamenti degli ultimi 5 esercizi, il metodo </w:t>
      </w:r>
      <w:r>
        <w:rPr>
          <w:rFonts w:ascii="Arial" w:hAnsi="Arial" w:cs="Arial"/>
          <w:sz w:val="22"/>
          <w:szCs w:val="22"/>
        </w:rPr>
        <w:t>della media semplice (</w:t>
      </w:r>
      <w:r w:rsidRPr="00632A65">
        <w:rPr>
          <w:rFonts w:ascii="Arial" w:hAnsi="Arial" w:cs="Arial"/>
          <w:color w:val="17365D"/>
          <w:sz w:val="22"/>
          <w:szCs w:val="22"/>
        </w:rPr>
        <w:t>specificare  quali delle seguenti medie è stata prescelta:</w:t>
      </w:r>
    </w:p>
    <w:p w:rsidR="004F39DA" w:rsidRPr="00632A65" w:rsidRDefault="004F39DA" w:rsidP="00E11CA8">
      <w:pPr>
        <w:numPr>
          <w:ilvl w:val="0"/>
          <w:numId w:val="19"/>
        </w:numPr>
        <w:contextualSpacing/>
        <w:jc w:val="both"/>
        <w:rPr>
          <w:rFonts w:ascii="Arial" w:hAnsi="Arial" w:cs="Arial"/>
          <w:color w:val="17365D"/>
          <w:sz w:val="22"/>
          <w:szCs w:val="22"/>
        </w:rPr>
      </w:pPr>
      <w:r w:rsidRPr="00632A65">
        <w:rPr>
          <w:rFonts w:ascii="Arial" w:hAnsi="Arial" w:cs="Arial"/>
          <w:color w:val="17365D"/>
          <w:sz w:val="22"/>
          <w:szCs w:val="22"/>
        </w:rPr>
        <w:t>media semplice (sia la media fra totale incassato e totale accertato, sia la  media dei rapporti annui);</w:t>
      </w:r>
    </w:p>
    <w:p w:rsidR="004F39DA" w:rsidRPr="00632A65" w:rsidRDefault="004F39DA" w:rsidP="00E11CA8">
      <w:pPr>
        <w:numPr>
          <w:ilvl w:val="0"/>
          <w:numId w:val="19"/>
        </w:numPr>
        <w:contextualSpacing/>
        <w:jc w:val="both"/>
        <w:rPr>
          <w:rFonts w:ascii="Arial" w:hAnsi="Arial" w:cs="Arial"/>
          <w:color w:val="17365D"/>
          <w:sz w:val="22"/>
          <w:szCs w:val="22"/>
        </w:rPr>
      </w:pPr>
      <w:r w:rsidRPr="00632A65">
        <w:rPr>
          <w:rFonts w:ascii="Arial" w:hAnsi="Arial" w:cs="Arial"/>
          <w:color w:val="17365D"/>
          <w:sz w:val="22"/>
          <w:szCs w:val="22"/>
        </w:rPr>
        <w:t>rapporto tra la sommatoria degli incassi di ciascun anno ponderati con i seguenti pesi: 0,35 in ciascuno degli anni nel biennio precedente e lo 0,10 in ciascuno degli anni del primo triennio - rispetto alla sommatoria degli accertamenti di ciascuna anno ponderati con i medesimi pesi indicati per gli incassi;</w:t>
      </w:r>
    </w:p>
    <w:p w:rsidR="004F39DA" w:rsidRPr="00632A65" w:rsidRDefault="004F39DA" w:rsidP="00E11CA8">
      <w:pPr>
        <w:numPr>
          <w:ilvl w:val="0"/>
          <w:numId w:val="19"/>
        </w:numPr>
        <w:contextualSpacing/>
        <w:jc w:val="both"/>
        <w:rPr>
          <w:rFonts w:ascii="Arial" w:hAnsi="Arial" w:cs="Arial"/>
          <w:color w:val="17365D"/>
          <w:sz w:val="22"/>
          <w:szCs w:val="22"/>
        </w:rPr>
      </w:pPr>
      <w:r w:rsidRPr="00632A65">
        <w:rPr>
          <w:rFonts w:ascii="Arial" w:hAnsi="Arial" w:cs="Arial"/>
          <w:color w:val="17365D"/>
          <w:sz w:val="22"/>
          <w:szCs w:val="22"/>
        </w:rPr>
        <w:t>media ponderata del rapporto tra incassi e accertamenti registrato in ciascun anno del quinquennio con i seguenti pesi: 0,35 in ciascuno degli an</w:t>
      </w:r>
      <w:r>
        <w:rPr>
          <w:rFonts w:ascii="Arial" w:hAnsi="Arial" w:cs="Arial"/>
          <w:color w:val="17365D"/>
          <w:sz w:val="22"/>
          <w:szCs w:val="22"/>
        </w:rPr>
        <w:t xml:space="preserve">ni nel biennio precedente e il </w:t>
      </w:r>
      <w:r w:rsidRPr="00632A65">
        <w:rPr>
          <w:rFonts w:ascii="Arial" w:hAnsi="Arial" w:cs="Arial"/>
          <w:color w:val="17365D"/>
          <w:sz w:val="22"/>
          <w:szCs w:val="22"/>
        </w:rPr>
        <w:t>0,10 in ciascuno degli anni del primo triennio)</w:t>
      </w:r>
    </w:p>
    <w:p w:rsidR="004F39DA" w:rsidRPr="00632A65" w:rsidRDefault="004F39DA" w:rsidP="0041625B">
      <w:pPr>
        <w:tabs>
          <w:tab w:val="left" w:pos="284"/>
        </w:tabs>
        <w:jc w:val="both"/>
        <w:rPr>
          <w:rFonts w:ascii="Arial" w:hAnsi="Arial" w:cs="Arial"/>
          <w:b/>
          <w:color w:val="17365D"/>
          <w:sz w:val="22"/>
          <w:szCs w:val="22"/>
        </w:rPr>
      </w:pPr>
    </w:p>
    <w:p w:rsidR="004F39DA" w:rsidRPr="00632A65" w:rsidRDefault="004F39DA" w:rsidP="0041625B">
      <w:pPr>
        <w:tabs>
          <w:tab w:val="left" w:pos="284"/>
        </w:tabs>
        <w:jc w:val="both"/>
        <w:rPr>
          <w:rFonts w:ascii="Arial" w:hAnsi="Arial" w:cs="Arial"/>
          <w:i/>
          <w:color w:val="17365D"/>
          <w:sz w:val="22"/>
          <w:szCs w:val="22"/>
        </w:rPr>
      </w:pPr>
      <w:r w:rsidRPr="00632A65">
        <w:rPr>
          <w:rFonts w:ascii="Arial" w:hAnsi="Arial" w:cs="Arial"/>
          <w:i/>
          <w:color w:val="17365D"/>
          <w:sz w:val="22"/>
          <w:szCs w:val="22"/>
        </w:rPr>
        <w:t xml:space="preserve">La possibilità di considerare al numeratore gli incassi in c/competenza e quelli in c/residui ai fini della determinazione del rapporto è da considerarsi valida solo nel primo esercizio di adozione dei nuovi principi. </w:t>
      </w:r>
    </w:p>
    <w:p w:rsidR="004F39DA" w:rsidRPr="00632A65" w:rsidRDefault="004F39DA" w:rsidP="0041625B">
      <w:pPr>
        <w:tabs>
          <w:tab w:val="left" w:pos="284"/>
        </w:tabs>
        <w:jc w:val="both"/>
        <w:rPr>
          <w:rFonts w:ascii="Arial" w:hAnsi="Arial" w:cs="Arial"/>
          <w:i/>
          <w:color w:val="17365D"/>
          <w:sz w:val="22"/>
          <w:szCs w:val="22"/>
        </w:rPr>
      </w:pPr>
      <w:r w:rsidRPr="00632A65">
        <w:rPr>
          <w:rFonts w:ascii="Arial" w:hAnsi="Arial" w:cs="Arial"/>
          <w:i/>
          <w:color w:val="17365D"/>
          <w:sz w:val="22"/>
          <w:szCs w:val="22"/>
        </w:rPr>
        <w:t>Pertanto nel secondo anno di applicazione dei nuovi principi, per le entrate accertate per competenza la media è calcolata facendo riferimento agli incassi (in c/competenza e in c/residui) e agli accertamenti del primo quadriennio del quinquennio precedente e al rapporto tra gli incassi di competenza e gli accertamenti dell’anno precedente. E così via negli anni successivi</w:t>
      </w:r>
    </w:p>
    <w:p w:rsidR="004F39DA" w:rsidRPr="00632A65" w:rsidRDefault="004F39DA" w:rsidP="0041625B">
      <w:pPr>
        <w:tabs>
          <w:tab w:val="left" w:pos="284"/>
        </w:tabs>
        <w:jc w:val="both"/>
        <w:rPr>
          <w:rFonts w:ascii="Arial" w:hAnsi="Arial" w:cs="Arial"/>
          <w:i/>
          <w:color w:val="17365D"/>
          <w:sz w:val="22"/>
          <w:szCs w:val="22"/>
        </w:rPr>
      </w:pPr>
      <w:r w:rsidRPr="00632A65">
        <w:rPr>
          <w:rFonts w:ascii="Arial" w:hAnsi="Arial" w:cs="Arial"/>
          <w:i/>
          <w:color w:val="17365D"/>
          <w:sz w:val="22"/>
          <w:szCs w:val="22"/>
        </w:rPr>
        <w:t>Per ciascuna formula, solo per gli “esercizi armonizzati", è possibile determinare il rapporto tra incassi di competenza e i relativi accertamenti, considerando tra gli incassi anche le riscossioni effettuate nell’anno successivo  in conto residui dell’anno precedente:</w:t>
      </w:r>
    </w:p>
    <w:p w:rsidR="004F39DA" w:rsidRPr="00632A65" w:rsidRDefault="004F39DA" w:rsidP="0041625B">
      <w:pPr>
        <w:ind w:left="1275" w:firstLine="141"/>
        <w:jc w:val="both"/>
        <w:rPr>
          <w:rFonts w:ascii="Arial" w:hAnsi="Arial" w:cs="Arial"/>
          <w:i/>
          <w:color w:val="17365D"/>
          <w:sz w:val="22"/>
          <w:szCs w:val="22"/>
          <w:u w:val="single"/>
        </w:rPr>
      </w:pPr>
      <w:r w:rsidRPr="00632A65">
        <w:rPr>
          <w:rFonts w:ascii="Arial" w:hAnsi="Arial" w:cs="Arial"/>
          <w:i/>
          <w:color w:val="17365D"/>
          <w:sz w:val="22"/>
          <w:szCs w:val="22"/>
        </w:rPr>
        <w:t xml:space="preserve">                 </w:t>
      </w:r>
      <w:r w:rsidRPr="00632A65">
        <w:rPr>
          <w:rFonts w:ascii="Arial" w:hAnsi="Arial" w:cs="Arial"/>
          <w:i/>
          <w:color w:val="17365D"/>
          <w:sz w:val="22"/>
          <w:szCs w:val="22"/>
          <w:u w:val="single"/>
        </w:rPr>
        <w:t>incassi di competenza es. X + incassi esercizio X+1 in c/residui X</w:t>
      </w:r>
    </w:p>
    <w:p w:rsidR="004F39DA" w:rsidRPr="00632A65" w:rsidRDefault="004F39DA" w:rsidP="0041625B">
      <w:pPr>
        <w:ind w:left="567"/>
        <w:jc w:val="both"/>
        <w:rPr>
          <w:rFonts w:ascii="Arial" w:hAnsi="Arial" w:cs="Arial"/>
          <w:i/>
          <w:color w:val="17365D"/>
          <w:sz w:val="22"/>
          <w:szCs w:val="22"/>
        </w:rPr>
      </w:pPr>
      <w:r w:rsidRPr="00632A65">
        <w:rPr>
          <w:rFonts w:ascii="Arial" w:hAnsi="Arial" w:cs="Arial"/>
          <w:i/>
          <w:color w:val="17365D"/>
          <w:sz w:val="22"/>
          <w:szCs w:val="22"/>
        </w:rPr>
        <w:tab/>
      </w:r>
      <w:r w:rsidRPr="00632A65">
        <w:rPr>
          <w:rFonts w:ascii="Arial" w:hAnsi="Arial" w:cs="Arial"/>
          <w:i/>
          <w:color w:val="17365D"/>
          <w:sz w:val="22"/>
          <w:szCs w:val="22"/>
        </w:rPr>
        <w:tab/>
      </w:r>
      <w:r w:rsidRPr="00632A65">
        <w:rPr>
          <w:rFonts w:ascii="Arial" w:hAnsi="Arial" w:cs="Arial"/>
          <w:i/>
          <w:color w:val="17365D"/>
          <w:sz w:val="22"/>
          <w:szCs w:val="22"/>
        </w:rPr>
        <w:tab/>
      </w:r>
      <w:r w:rsidRPr="00632A65">
        <w:rPr>
          <w:rFonts w:ascii="Arial" w:hAnsi="Arial" w:cs="Arial"/>
          <w:i/>
          <w:color w:val="17365D"/>
          <w:sz w:val="22"/>
          <w:szCs w:val="22"/>
        </w:rPr>
        <w:tab/>
      </w:r>
      <w:r w:rsidRPr="00632A65">
        <w:rPr>
          <w:rFonts w:ascii="Arial" w:hAnsi="Arial" w:cs="Arial"/>
          <w:i/>
          <w:color w:val="17365D"/>
          <w:sz w:val="22"/>
          <w:szCs w:val="22"/>
        </w:rPr>
        <w:tab/>
      </w:r>
      <w:r w:rsidRPr="00632A65">
        <w:rPr>
          <w:rFonts w:ascii="Arial" w:hAnsi="Arial" w:cs="Arial"/>
          <w:i/>
          <w:color w:val="17365D"/>
          <w:sz w:val="22"/>
          <w:szCs w:val="22"/>
        </w:rPr>
        <w:tab/>
      </w:r>
      <w:r w:rsidRPr="00632A65">
        <w:rPr>
          <w:rFonts w:ascii="Arial" w:hAnsi="Arial" w:cs="Arial"/>
          <w:i/>
          <w:color w:val="17365D"/>
          <w:sz w:val="22"/>
          <w:szCs w:val="22"/>
        </w:rPr>
        <w:tab/>
        <w:t>Accertamenti esercizio X</w:t>
      </w:r>
    </w:p>
    <w:p w:rsidR="004F39DA" w:rsidRPr="00632A65" w:rsidRDefault="004F39DA" w:rsidP="0041625B">
      <w:pPr>
        <w:jc w:val="both"/>
        <w:rPr>
          <w:rFonts w:ascii="Arial" w:hAnsi="Arial" w:cs="Arial"/>
          <w:i/>
          <w:sz w:val="22"/>
          <w:szCs w:val="22"/>
          <w:u w:val="single"/>
        </w:rPr>
      </w:pPr>
      <w:r w:rsidRPr="00632A65">
        <w:rPr>
          <w:rFonts w:ascii="Arial" w:hAnsi="Arial" w:cs="Arial"/>
          <w:i/>
          <w:sz w:val="22"/>
          <w:szCs w:val="22"/>
          <w:u w:val="single"/>
        </w:rPr>
        <w:t>(specificare se l’ente si è avvalso di tale facoltà e se ha utilizzato metodi di calcolo diversi).</w:t>
      </w:r>
    </w:p>
    <w:p w:rsidR="004F39DA" w:rsidRPr="00632A65" w:rsidRDefault="004F39DA" w:rsidP="0041625B">
      <w:pPr>
        <w:jc w:val="both"/>
        <w:rPr>
          <w:rFonts w:ascii="Arial" w:hAnsi="Arial" w:cs="Arial"/>
          <w:i/>
          <w:color w:val="17365D"/>
          <w:sz w:val="22"/>
          <w:szCs w:val="22"/>
        </w:rPr>
      </w:pPr>
      <w:r w:rsidRPr="00632A65">
        <w:rPr>
          <w:rFonts w:ascii="Arial" w:hAnsi="Arial" w:cs="Arial"/>
          <w:i/>
          <w:color w:val="17365D"/>
          <w:sz w:val="22"/>
          <w:szCs w:val="22"/>
        </w:rPr>
        <w:t xml:space="preserve"> </w:t>
      </w:r>
    </w:p>
    <w:p w:rsidR="004F39DA" w:rsidRPr="00632A65" w:rsidRDefault="004F39DA" w:rsidP="0041625B">
      <w:pPr>
        <w:tabs>
          <w:tab w:val="left" w:pos="284"/>
        </w:tabs>
        <w:jc w:val="both"/>
        <w:rPr>
          <w:rFonts w:ascii="Arial" w:hAnsi="Arial" w:cs="Arial"/>
          <w:i/>
          <w:color w:val="17365D"/>
          <w:sz w:val="22"/>
          <w:szCs w:val="22"/>
        </w:rPr>
      </w:pPr>
      <w:r w:rsidRPr="00632A65">
        <w:rPr>
          <w:rFonts w:ascii="Arial" w:hAnsi="Arial" w:cs="Arial"/>
          <w:i/>
          <w:color w:val="17365D"/>
          <w:sz w:val="22"/>
          <w:szCs w:val="22"/>
        </w:rPr>
        <w:t>(Per le entrate che negli esercizi precedenti all’adozione del nuovo ordinamento contabile erano state accertate per cassa, il fondo crediti di dubbia esigibilità è determinato sulla base di dati extra-contabili, ad esempio confrontando il totale dei ruoli ordinari emessi negli ultimi cinque anni con gli incassi complessivi (senza distinguere gli incassi relativi ai ruoli ordinari da quelli relativi ai ruoli coattivi) registrati nei medesimi esercizi.</w:t>
      </w:r>
    </w:p>
    <w:p w:rsidR="004F39DA" w:rsidRPr="00632A65" w:rsidRDefault="004F39DA" w:rsidP="0041625B">
      <w:pPr>
        <w:tabs>
          <w:tab w:val="left" w:pos="284"/>
        </w:tabs>
        <w:jc w:val="both"/>
        <w:rPr>
          <w:rFonts w:ascii="Arial" w:hAnsi="Arial" w:cs="Arial"/>
          <w:color w:val="17365D"/>
          <w:sz w:val="22"/>
          <w:szCs w:val="22"/>
        </w:rPr>
      </w:pPr>
      <w:r w:rsidRPr="00632A65">
        <w:rPr>
          <w:rFonts w:ascii="Arial" w:hAnsi="Arial" w:cs="Arial"/>
          <w:i/>
          <w:color w:val="17365D"/>
          <w:sz w:val="22"/>
          <w:szCs w:val="22"/>
        </w:rPr>
        <w:t>Si fa presente che enti che negli ultimi tre esercizi hanno formalmente attivato un processo di accelerazione della propria capacità di riscossione possono calcolare il fondo crediti di dubbia esigibilità</w:t>
      </w:r>
      <w:r w:rsidRPr="00632A65">
        <w:rPr>
          <w:rFonts w:ascii="Arial" w:hAnsi="Arial" w:cs="Arial"/>
          <w:color w:val="17365D"/>
          <w:sz w:val="22"/>
          <w:szCs w:val="22"/>
        </w:rPr>
        <w:t xml:space="preserve"> </w:t>
      </w:r>
      <w:r w:rsidRPr="00632A65">
        <w:rPr>
          <w:rFonts w:ascii="Arial" w:hAnsi="Arial" w:cs="Arial"/>
          <w:i/>
          <w:color w:val="17365D"/>
          <w:sz w:val="22"/>
          <w:szCs w:val="22"/>
        </w:rPr>
        <w:t>facendo riferimento ai risultati di tali tre esercizi).</w:t>
      </w:r>
      <w:r w:rsidRPr="00632A65">
        <w:rPr>
          <w:rFonts w:ascii="Arial" w:hAnsi="Arial" w:cs="Arial"/>
          <w:color w:val="17365D"/>
          <w:sz w:val="22"/>
          <w:szCs w:val="22"/>
        </w:rPr>
        <w:t xml:space="preserve"> </w:t>
      </w:r>
    </w:p>
    <w:p w:rsidR="004F39DA" w:rsidRPr="00632A65" w:rsidRDefault="004F39DA" w:rsidP="0041625B">
      <w:pPr>
        <w:jc w:val="both"/>
        <w:rPr>
          <w:rFonts w:ascii="Arial" w:hAnsi="Arial" w:cs="Arial"/>
          <w:i/>
          <w:sz w:val="22"/>
          <w:szCs w:val="22"/>
          <w:u w:val="single"/>
        </w:rPr>
      </w:pPr>
      <w:r w:rsidRPr="00632A65">
        <w:rPr>
          <w:rFonts w:ascii="Arial" w:hAnsi="Arial" w:cs="Arial"/>
          <w:i/>
          <w:sz w:val="22"/>
          <w:szCs w:val="22"/>
          <w:u w:val="single"/>
        </w:rPr>
        <w:t>(specificare se l’ente si è avvalso di tale facoltà).</w:t>
      </w:r>
    </w:p>
    <w:p w:rsidR="004F39DA" w:rsidRPr="00632A65" w:rsidRDefault="004F39DA" w:rsidP="0041625B">
      <w:pPr>
        <w:tabs>
          <w:tab w:val="left" w:pos="284"/>
        </w:tabs>
        <w:jc w:val="both"/>
        <w:rPr>
          <w:rFonts w:ascii="Arial" w:hAnsi="Arial" w:cs="Arial"/>
          <w:sz w:val="22"/>
          <w:szCs w:val="22"/>
        </w:rPr>
      </w:pPr>
    </w:p>
    <w:p w:rsidR="004F39DA" w:rsidRPr="00632A65" w:rsidRDefault="004F39DA" w:rsidP="0041625B">
      <w:pPr>
        <w:tabs>
          <w:tab w:val="left" w:pos="284"/>
        </w:tabs>
        <w:jc w:val="both"/>
        <w:rPr>
          <w:rFonts w:ascii="Arial" w:hAnsi="Arial" w:cs="Arial"/>
          <w:i/>
          <w:color w:val="17365D"/>
          <w:sz w:val="22"/>
          <w:szCs w:val="22"/>
        </w:rPr>
      </w:pPr>
      <w:r w:rsidRPr="00632A65">
        <w:rPr>
          <w:rFonts w:ascii="Arial" w:hAnsi="Arial" w:cs="Arial"/>
          <w:i/>
          <w:color w:val="17365D"/>
          <w:sz w:val="22"/>
          <w:szCs w:val="22"/>
        </w:rPr>
        <w:t xml:space="preserve">(Non sono oggetto di svalutazione i crediti da altre amministrazioni pubbliche, i crediti assistiti da fidejussione e le entrate tributarie che, sulla base dei principi contabili sono accertate per cassa </w:t>
      </w:r>
    </w:p>
    <w:p w:rsidR="004F39DA" w:rsidRPr="00632A65" w:rsidRDefault="004F39DA" w:rsidP="0041625B">
      <w:pPr>
        <w:tabs>
          <w:tab w:val="left" w:pos="284"/>
        </w:tabs>
        <w:jc w:val="both"/>
        <w:rPr>
          <w:rFonts w:ascii="Arial" w:hAnsi="Arial" w:cs="Arial"/>
          <w:b/>
          <w:i/>
          <w:color w:val="17365D"/>
          <w:sz w:val="22"/>
          <w:szCs w:val="22"/>
        </w:rPr>
      </w:pPr>
      <w:r w:rsidRPr="00632A65">
        <w:rPr>
          <w:rFonts w:ascii="Arial" w:hAnsi="Arial" w:cs="Arial"/>
          <w:i/>
          <w:color w:val="17365D"/>
          <w:sz w:val="22"/>
          <w:szCs w:val="22"/>
        </w:rPr>
        <w:t>Per le entrate da tributi in autoliquidazione in ossequio al principio 3.7.5, stante le modalità di accertamento non è stato previsto il FCDE</w:t>
      </w:r>
    </w:p>
    <w:p w:rsidR="004F39DA" w:rsidRPr="00632A65" w:rsidRDefault="004F39DA" w:rsidP="0041625B">
      <w:pPr>
        <w:tabs>
          <w:tab w:val="left" w:pos="284"/>
        </w:tabs>
        <w:jc w:val="both"/>
        <w:rPr>
          <w:rFonts w:ascii="Arial" w:hAnsi="Arial" w:cs="Arial"/>
          <w:i/>
          <w:color w:val="17365D"/>
          <w:sz w:val="22"/>
          <w:szCs w:val="22"/>
        </w:rPr>
      </w:pPr>
      <w:r w:rsidRPr="00632A65">
        <w:rPr>
          <w:rFonts w:ascii="Arial" w:hAnsi="Arial" w:cs="Arial"/>
          <w:i/>
          <w:color w:val="17365D"/>
          <w:sz w:val="22"/>
          <w:szCs w:val="22"/>
        </w:rPr>
        <w:t>Non sono altresì oggetto di svalutazione le entrate di dubbia e difficile esazione riguardanti entrate riscosse da un ente per conto di un altro ente e destinate ad essere versate all’ente beneficiario finale. Il fondo crediti di dubbia esigibilità è accantonato dall’ente beneficiario finale).</w:t>
      </w:r>
    </w:p>
    <w:p w:rsidR="004F39DA" w:rsidRPr="00632A65" w:rsidRDefault="004F39DA" w:rsidP="0041625B">
      <w:pPr>
        <w:tabs>
          <w:tab w:val="left" w:pos="284"/>
        </w:tabs>
        <w:jc w:val="both"/>
        <w:rPr>
          <w:rFonts w:ascii="Arial" w:hAnsi="Arial" w:cs="Arial"/>
          <w:sz w:val="22"/>
          <w:szCs w:val="22"/>
        </w:rPr>
      </w:pPr>
    </w:p>
    <w:p w:rsidR="004F39DA" w:rsidRPr="00632A65" w:rsidRDefault="004F39DA" w:rsidP="0041625B">
      <w:pPr>
        <w:jc w:val="both"/>
        <w:rPr>
          <w:rFonts w:ascii="Arial" w:hAnsi="Arial" w:cs="Arial"/>
          <w:i/>
          <w:color w:val="17365D"/>
          <w:sz w:val="22"/>
          <w:szCs w:val="22"/>
        </w:rPr>
      </w:pPr>
      <w:r w:rsidRPr="00632A65">
        <w:rPr>
          <w:rFonts w:ascii="Arial" w:hAnsi="Arial" w:cs="Arial"/>
          <w:i/>
          <w:color w:val="17365D"/>
          <w:sz w:val="22"/>
          <w:szCs w:val="22"/>
        </w:rPr>
        <w:t>(Nel 2016 per tutti gli enti locali lo stanziamento di bilancio riguardante il fondo crediti di dubbia esigibilità è pari almeno al 55%, nel 2017 è pari almeno al 70%, nel 2018 è pari almeno all'85% di quello risultante dall’applicazione o e dal 2019 l'accantonamento al fondo è effettuato per l'intero importo.</w:t>
      </w:r>
    </w:p>
    <w:p w:rsidR="004F39DA" w:rsidRPr="00632A65" w:rsidRDefault="004F39DA" w:rsidP="0041625B">
      <w:pPr>
        <w:tabs>
          <w:tab w:val="left" w:pos="284"/>
        </w:tabs>
        <w:jc w:val="both"/>
        <w:rPr>
          <w:rFonts w:ascii="Arial" w:hAnsi="Arial" w:cs="Arial"/>
          <w:i/>
          <w:color w:val="17365D"/>
          <w:sz w:val="22"/>
          <w:szCs w:val="22"/>
        </w:rPr>
      </w:pPr>
      <w:r w:rsidRPr="00632A65">
        <w:rPr>
          <w:rFonts w:ascii="Arial" w:hAnsi="Arial" w:cs="Arial"/>
          <w:i/>
          <w:color w:val="17365D"/>
          <w:sz w:val="22"/>
          <w:szCs w:val="22"/>
        </w:rPr>
        <w:t>Il fondo crediti di dubbia esigibilità, pur confluendo in un unico piano finanziario incluso nella missione 20 programma 2, deve essere articolato distintamente in considerazione della differente natura dei crediti).</w:t>
      </w:r>
    </w:p>
    <w:p w:rsidR="004F39DA" w:rsidRPr="00632A65" w:rsidRDefault="004F39DA" w:rsidP="0041625B">
      <w:pPr>
        <w:tabs>
          <w:tab w:val="left" w:pos="284"/>
        </w:tabs>
        <w:jc w:val="both"/>
        <w:rPr>
          <w:rFonts w:ascii="Arial" w:hAnsi="Arial" w:cs="Arial"/>
          <w:sz w:val="22"/>
          <w:szCs w:val="22"/>
        </w:rPr>
      </w:pPr>
      <w:r w:rsidRPr="00632A65">
        <w:rPr>
          <w:rFonts w:ascii="Arial" w:hAnsi="Arial" w:cs="Arial"/>
          <w:sz w:val="22"/>
          <w:szCs w:val="22"/>
        </w:rPr>
        <w:t>L’accantonamento al fondo crediti di dubbia esigibilità non è oggetto di impegno e genera un’economia di bilancio che confluisce nel risultato di amministrazione come quota accantonata.</w:t>
      </w:r>
    </w:p>
    <w:p w:rsidR="004F39DA" w:rsidRPr="00632A65" w:rsidRDefault="004F39DA" w:rsidP="0041625B">
      <w:pPr>
        <w:tabs>
          <w:tab w:val="left" w:pos="284"/>
        </w:tabs>
        <w:jc w:val="both"/>
        <w:rPr>
          <w:rFonts w:ascii="Arial" w:hAnsi="Arial" w:cs="Arial"/>
          <w:sz w:val="22"/>
          <w:szCs w:val="22"/>
        </w:rPr>
      </w:pPr>
    </w:p>
    <w:p w:rsidR="004F39DA" w:rsidRPr="00632A65" w:rsidRDefault="004F39DA" w:rsidP="0041625B">
      <w:pPr>
        <w:jc w:val="both"/>
        <w:rPr>
          <w:rFonts w:ascii="Arial" w:hAnsi="Arial" w:cs="Arial"/>
          <w:sz w:val="22"/>
          <w:szCs w:val="22"/>
        </w:rPr>
      </w:pPr>
      <w:r>
        <w:rPr>
          <w:rFonts w:ascii="Arial" w:hAnsi="Arial" w:cs="Arial"/>
          <w:sz w:val="22"/>
          <w:szCs w:val="22"/>
        </w:rPr>
        <w:t>Il Revisore dei Conti</w:t>
      </w:r>
      <w:r w:rsidRPr="00632A65">
        <w:rPr>
          <w:rFonts w:ascii="Arial" w:hAnsi="Arial" w:cs="Arial"/>
          <w:sz w:val="22"/>
          <w:szCs w:val="22"/>
        </w:rPr>
        <w:t xml:space="preserve"> ha accertato la regolarità del calcolo del fondo ed il rispetto della percentuale minima di accantonamento.</w:t>
      </w:r>
    </w:p>
    <w:p w:rsidR="004F39DA" w:rsidRPr="00632A65" w:rsidRDefault="004F39DA" w:rsidP="0041625B">
      <w:pPr>
        <w:jc w:val="both"/>
        <w:rPr>
          <w:rFonts w:ascii="Arial" w:hAnsi="Arial" w:cs="Arial"/>
          <w:sz w:val="22"/>
          <w:szCs w:val="22"/>
        </w:rPr>
      </w:pPr>
      <w:r w:rsidRPr="00632A65">
        <w:rPr>
          <w:rFonts w:ascii="Arial" w:hAnsi="Arial" w:cs="Arial"/>
          <w:sz w:val="22"/>
          <w:szCs w:val="22"/>
        </w:rPr>
        <w:t xml:space="preserve">Il fondo crediti di dubbia esigibilità per gli anni 2016-2018 risulta come dai seguenti prospetti: </w:t>
      </w:r>
    </w:p>
    <w:p w:rsidR="004F39DA" w:rsidRPr="00632A65" w:rsidRDefault="004F39DA" w:rsidP="0041625B">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sz w:val="22"/>
          <w:szCs w:val="22"/>
        </w:rPr>
      </w:pPr>
    </w:p>
    <w:p w:rsidR="004F39DA" w:rsidRPr="00632A65" w:rsidRDefault="004F39DA" w:rsidP="003D76D9">
      <w:pPr>
        <w:rPr>
          <w:rFonts w:ascii="Arial" w:hAnsi="Arial" w:cs="Arial"/>
          <w:sz w:val="22"/>
          <w:szCs w:val="22"/>
        </w:rPr>
      </w:pPr>
      <w:r w:rsidRPr="00632A65">
        <w:rPr>
          <w:rFonts w:ascii="Arial" w:hAnsi="Arial" w:cs="Arial"/>
          <w:sz w:val="22"/>
          <w:szCs w:val="22"/>
        </w:rPr>
        <w:br w:type="page"/>
      </w:r>
    </w:p>
    <w:p w:rsidR="004F39DA" w:rsidRPr="00632A65" w:rsidRDefault="004F39DA" w:rsidP="003D76D9">
      <w:pPr>
        <w:rPr>
          <w:rFonts w:ascii="Arial" w:hAnsi="Arial" w:cs="Arial"/>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object w:dxaOrig="11347" w:dyaOrig="10781">
          <v:shape id="_x0000_i1039" type="#_x0000_t75" style="width:510.75pt;height:485.25pt" o:ole="">
            <v:imagedata r:id="rId40" o:title=""/>
          </v:shape>
          <o:OLEObject Type="Embed" ProgID="Excel.Sheet.8" ShapeID="_x0000_i1039" DrawAspect="Content" ObjectID="_1547456141" r:id="rId41"/>
        </w:object>
      </w:r>
    </w:p>
    <w:p w:rsidR="004F39DA" w:rsidRPr="00632A65" w:rsidRDefault="004F39DA" w:rsidP="003D76D9">
      <w:pPr>
        <w:ind w:left="-284"/>
        <w:jc w:val="both"/>
        <w:rPr>
          <w:rFonts w:ascii="Arial" w:hAnsi="Arial" w:cs="Arial"/>
          <w:b/>
          <w:i/>
          <w:sz w:val="20"/>
        </w:rPr>
      </w:pPr>
    </w:p>
    <w:tbl>
      <w:tblPr>
        <w:tblW w:w="12520" w:type="dxa"/>
        <w:tblInd w:w="58" w:type="dxa"/>
        <w:tblCellMar>
          <w:left w:w="70" w:type="dxa"/>
          <w:right w:w="70" w:type="dxa"/>
        </w:tblCellMar>
        <w:tblLook w:val="0000"/>
      </w:tblPr>
      <w:tblGrid>
        <w:gridCol w:w="12520"/>
      </w:tblGrid>
      <w:tr w:rsidR="004F39DA" w:rsidRPr="00632A65" w:rsidTr="00062D32">
        <w:trPr>
          <w:trHeight w:val="264"/>
        </w:trPr>
        <w:tc>
          <w:tcPr>
            <w:tcW w:w="12520" w:type="dxa"/>
            <w:tcBorders>
              <w:top w:val="nil"/>
              <w:left w:val="nil"/>
              <w:bottom w:val="nil"/>
              <w:right w:val="nil"/>
            </w:tcBorders>
            <w:noWrap/>
            <w:vAlign w:val="bottom"/>
          </w:tcPr>
          <w:p w:rsidR="004F39DA" w:rsidRPr="00632A65" w:rsidRDefault="004F39DA" w:rsidP="00062D32">
            <w:pPr>
              <w:rPr>
                <w:rFonts w:ascii="Arial" w:hAnsi="Arial" w:cs="Arial"/>
                <w:color w:val="000000"/>
                <w:sz w:val="16"/>
                <w:szCs w:val="16"/>
              </w:rPr>
            </w:pPr>
          </w:p>
        </w:tc>
      </w:tr>
    </w:tbl>
    <w:p w:rsidR="004F39DA" w:rsidRPr="00632A65" w:rsidRDefault="004F39DA" w:rsidP="003D76D9">
      <w:pPr>
        <w:jc w:val="both"/>
        <w:rPr>
          <w:rFonts w:ascii="Arial" w:hAnsi="Arial" w:cs="Arial"/>
          <w:b/>
          <w:i/>
          <w:sz w:val="20"/>
        </w:rPr>
      </w:pPr>
    </w:p>
    <w:p w:rsidR="004F39DA" w:rsidRPr="00632A65" w:rsidRDefault="004F39DA" w:rsidP="003D76D9">
      <w:pPr>
        <w:rPr>
          <w:rFonts w:ascii="Arial" w:hAnsi="Arial" w:cs="Arial"/>
          <w:i/>
          <w:sz w:val="20"/>
          <w:szCs w:val="20"/>
        </w:rPr>
      </w:pPr>
      <w:r w:rsidRPr="00632A65">
        <w:rPr>
          <w:rFonts w:ascii="Arial" w:hAnsi="Arial" w:cs="Arial"/>
          <w:i/>
          <w:sz w:val="20"/>
          <w:szCs w:val="20"/>
        </w:rPr>
        <w:br w:type="page"/>
      </w:r>
    </w:p>
    <w:p w:rsidR="004F39DA" w:rsidRPr="00632A65" w:rsidRDefault="004F39DA" w:rsidP="003D76D9">
      <w:pPr>
        <w:jc w:val="both"/>
        <w:rPr>
          <w:rFonts w:ascii="Arial" w:hAnsi="Arial" w:cs="Arial"/>
          <w:sz w:val="20"/>
          <w:szCs w:val="20"/>
        </w:rPr>
      </w:pPr>
    </w:p>
    <w:p w:rsidR="004F39DA" w:rsidRPr="00632A65" w:rsidRDefault="004F39DA" w:rsidP="003D76D9">
      <w:pPr>
        <w:rPr>
          <w:rFonts w:ascii="Arial" w:hAnsi="Arial" w:cs="Arial"/>
          <w:b/>
          <w:i/>
          <w:sz w:val="20"/>
        </w:rPr>
      </w:pPr>
    </w:p>
    <w:p w:rsidR="004F39DA" w:rsidRPr="00632A65" w:rsidRDefault="004F39DA" w:rsidP="003D76D9">
      <w:pPr>
        <w:jc w:val="both"/>
        <w:rPr>
          <w:rFonts w:ascii="Arial" w:hAnsi="Arial" w:cs="Arial"/>
          <w:sz w:val="22"/>
          <w:szCs w:val="22"/>
        </w:rPr>
      </w:pPr>
    </w:p>
    <w:p w:rsidR="004F39DA" w:rsidRPr="00632A65" w:rsidRDefault="004F39DA" w:rsidP="003D76D9">
      <w:pPr>
        <w:pStyle w:val="Heading3"/>
      </w:pPr>
      <w:bookmarkStart w:id="41" w:name="_Toc314835196"/>
      <w:r w:rsidRPr="00632A65">
        <w:t>Fondo di riserva di competenza</w:t>
      </w:r>
      <w:bookmarkEnd w:id="41"/>
    </w:p>
    <w:p w:rsidR="004F39DA" w:rsidRPr="00632A65" w:rsidRDefault="004F39DA" w:rsidP="003D76D9">
      <w:pPr>
        <w:pStyle w:val="Corpodeltesto21"/>
        <w:spacing w:before="120"/>
        <w:rPr>
          <w:rFonts w:cs="Arial"/>
          <w:b w:val="0"/>
          <w:i w:val="0"/>
          <w:sz w:val="22"/>
          <w:szCs w:val="22"/>
        </w:rPr>
      </w:pPr>
      <w:r w:rsidRPr="00632A65">
        <w:rPr>
          <w:rFonts w:cs="Arial"/>
          <w:b w:val="0"/>
          <w:i w:val="0"/>
          <w:sz w:val="22"/>
          <w:szCs w:val="22"/>
        </w:rPr>
        <w:t>La consistenza del fondo di riserva ordinario previsto in:</w:t>
      </w:r>
    </w:p>
    <w:p w:rsidR="004F39DA" w:rsidRPr="00632A65" w:rsidRDefault="004F39DA" w:rsidP="003D76D9">
      <w:pPr>
        <w:pStyle w:val="Corpodeltesto21"/>
        <w:spacing w:before="120"/>
        <w:rPr>
          <w:rFonts w:cs="Arial"/>
          <w:b w:val="0"/>
          <w:i w:val="0"/>
          <w:sz w:val="22"/>
          <w:szCs w:val="22"/>
        </w:rPr>
      </w:pPr>
      <w:r w:rsidRPr="00632A65">
        <w:rPr>
          <w:rFonts w:cs="Arial"/>
          <w:b w:val="0"/>
          <w:i w:val="0"/>
          <w:sz w:val="22"/>
          <w:szCs w:val="22"/>
        </w:rPr>
        <w:t xml:space="preserve">per l’anno 2016 in euro </w:t>
      </w:r>
      <w:r>
        <w:rPr>
          <w:rFonts w:cs="Arial"/>
          <w:b w:val="0"/>
          <w:i w:val="0"/>
          <w:sz w:val="22"/>
          <w:szCs w:val="22"/>
        </w:rPr>
        <w:t>16.500,00</w:t>
      </w:r>
      <w:r w:rsidRPr="00632A65">
        <w:rPr>
          <w:rFonts w:cs="Arial"/>
          <w:b w:val="0"/>
          <w:i w:val="0"/>
          <w:sz w:val="22"/>
          <w:szCs w:val="22"/>
        </w:rPr>
        <w:t xml:space="preserve"> pari allo </w:t>
      </w:r>
      <w:r>
        <w:rPr>
          <w:rFonts w:cs="Arial"/>
          <w:b w:val="0"/>
          <w:i w:val="0"/>
          <w:sz w:val="22"/>
          <w:szCs w:val="22"/>
        </w:rPr>
        <w:t>0,49</w:t>
      </w:r>
      <w:r w:rsidRPr="00632A65">
        <w:rPr>
          <w:rFonts w:cs="Arial"/>
          <w:b w:val="0"/>
          <w:i w:val="0"/>
          <w:sz w:val="22"/>
          <w:szCs w:val="22"/>
        </w:rPr>
        <w:t>% delle spese correnti;</w:t>
      </w:r>
    </w:p>
    <w:p w:rsidR="004F39DA" w:rsidRPr="00632A65" w:rsidRDefault="004F39DA" w:rsidP="003D76D9">
      <w:pPr>
        <w:pStyle w:val="Corpodeltesto21"/>
        <w:spacing w:before="120"/>
        <w:rPr>
          <w:rFonts w:cs="Arial"/>
          <w:b w:val="0"/>
          <w:i w:val="0"/>
          <w:sz w:val="22"/>
          <w:szCs w:val="22"/>
        </w:rPr>
      </w:pPr>
      <w:r w:rsidRPr="00632A65">
        <w:rPr>
          <w:rFonts w:cs="Arial"/>
          <w:b w:val="0"/>
          <w:i w:val="0"/>
          <w:sz w:val="22"/>
          <w:szCs w:val="22"/>
        </w:rPr>
        <w:t xml:space="preserve">per l’anno 2017 in euro </w:t>
      </w:r>
      <w:r>
        <w:rPr>
          <w:rFonts w:cs="Arial"/>
          <w:b w:val="0"/>
          <w:i w:val="0"/>
          <w:sz w:val="22"/>
          <w:szCs w:val="22"/>
        </w:rPr>
        <w:t xml:space="preserve">16.500,00 </w:t>
      </w:r>
      <w:r w:rsidRPr="00632A65">
        <w:rPr>
          <w:rFonts w:cs="Arial"/>
          <w:b w:val="0"/>
          <w:i w:val="0"/>
          <w:sz w:val="22"/>
          <w:szCs w:val="22"/>
        </w:rPr>
        <w:t xml:space="preserve">pari allo </w:t>
      </w:r>
      <w:r>
        <w:rPr>
          <w:rFonts w:cs="Arial"/>
          <w:b w:val="0"/>
          <w:i w:val="0"/>
          <w:sz w:val="22"/>
          <w:szCs w:val="22"/>
        </w:rPr>
        <w:t>0,56</w:t>
      </w:r>
      <w:r w:rsidRPr="00632A65">
        <w:rPr>
          <w:rFonts w:cs="Arial"/>
          <w:b w:val="0"/>
          <w:i w:val="0"/>
          <w:sz w:val="22"/>
          <w:szCs w:val="22"/>
        </w:rPr>
        <w:t>% delle spese correnti;</w:t>
      </w:r>
    </w:p>
    <w:p w:rsidR="004F39DA" w:rsidRPr="00632A65" w:rsidRDefault="004F39DA" w:rsidP="003D76D9">
      <w:pPr>
        <w:pStyle w:val="Corpodeltesto21"/>
        <w:spacing w:before="120"/>
        <w:rPr>
          <w:rFonts w:cs="Arial"/>
          <w:b w:val="0"/>
          <w:i w:val="0"/>
          <w:sz w:val="22"/>
          <w:szCs w:val="22"/>
        </w:rPr>
      </w:pPr>
      <w:r w:rsidRPr="00632A65">
        <w:rPr>
          <w:rFonts w:cs="Arial"/>
          <w:b w:val="0"/>
          <w:i w:val="0"/>
          <w:sz w:val="22"/>
          <w:szCs w:val="22"/>
        </w:rPr>
        <w:t xml:space="preserve">per l’anno 2018 in euro </w:t>
      </w:r>
      <w:r>
        <w:rPr>
          <w:rFonts w:cs="Arial"/>
          <w:b w:val="0"/>
          <w:i w:val="0"/>
          <w:sz w:val="22"/>
          <w:szCs w:val="22"/>
        </w:rPr>
        <w:t xml:space="preserve">16.500,00 </w:t>
      </w:r>
      <w:r w:rsidRPr="00632A65">
        <w:rPr>
          <w:rFonts w:cs="Arial"/>
          <w:b w:val="0"/>
          <w:i w:val="0"/>
          <w:sz w:val="22"/>
          <w:szCs w:val="22"/>
        </w:rPr>
        <w:t xml:space="preserve">pari allo </w:t>
      </w:r>
      <w:r>
        <w:rPr>
          <w:rFonts w:cs="Arial"/>
          <w:b w:val="0"/>
          <w:i w:val="0"/>
          <w:sz w:val="22"/>
          <w:szCs w:val="22"/>
        </w:rPr>
        <w:t xml:space="preserve">0,56 </w:t>
      </w:r>
      <w:r w:rsidRPr="00632A65">
        <w:rPr>
          <w:rFonts w:cs="Arial"/>
          <w:b w:val="0"/>
          <w:i w:val="0"/>
          <w:sz w:val="22"/>
          <w:szCs w:val="22"/>
        </w:rPr>
        <w:t>% delle spese correnti;</w:t>
      </w:r>
    </w:p>
    <w:p w:rsidR="004F39DA" w:rsidRPr="00632A65" w:rsidRDefault="004F39DA" w:rsidP="003D76D9">
      <w:pPr>
        <w:pStyle w:val="Corpodeltesto21"/>
        <w:spacing w:before="120"/>
        <w:rPr>
          <w:rFonts w:cs="Arial"/>
          <w:b w:val="0"/>
          <w:i w:val="0"/>
          <w:sz w:val="22"/>
          <w:szCs w:val="22"/>
        </w:rPr>
      </w:pPr>
      <w:r w:rsidRPr="00632A65">
        <w:rPr>
          <w:rFonts w:cs="Arial"/>
          <w:b w:val="0"/>
          <w:i w:val="0"/>
          <w:sz w:val="22"/>
          <w:szCs w:val="22"/>
        </w:rPr>
        <w:t xml:space="preserve">rientra nei limiti previsti dall’articolo 166 del </w:t>
      </w:r>
      <w:r>
        <w:rPr>
          <w:rFonts w:cs="Arial"/>
          <w:sz w:val="20"/>
        </w:rPr>
        <w:t>TUEL</w:t>
      </w:r>
      <w:r w:rsidRPr="00632A65">
        <w:rPr>
          <w:rFonts w:cs="Arial"/>
          <w:b w:val="0"/>
          <w:i w:val="0"/>
          <w:sz w:val="22"/>
          <w:szCs w:val="22"/>
        </w:rPr>
        <w:t xml:space="preserve"> ed in quelli previsti dal regolamento di contabilità.</w:t>
      </w:r>
    </w:p>
    <w:p w:rsidR="004F39DA" w:rsidRPr="00632A65" w:rsidRDefault="004F39DA" w:rsidP="003D76D9">
      <w:pPr>
        <w:autoSpaceDE w:val="0"/>
        <w:autoSpaceDN w:val="0"/>
        <w:adjustRightInd w:val="0"/>
        <w:rPr>
          <w:rFonts w:ascii="Arial" w:hAnsi="Arial" w:cs="Arial"/>
          <w:b/>
          <w:bCs/>
          <w:sz w:val="22"/>
          <w:szCs w:val="22"/>
          <w:u w:val="single"/>
        </w:rPr>
      </w:pPr>
    </w:p>
    <w:p w:rsidR="004F39DA" w:rsidRPr="00632A65" w:rsidRDefault="004F39DA" w:rsidP="003D76D9">
      <w:pPr>
        <w:pStyle w:val="Heading3"/>
      </w:pPr>
      <w:bookmarkStart w:id="42" w:name="_ORGANISMI_PARTECIPATI"/>
      <w:bookmarkStart w:id="43" w:name="_Toc314835198"/>
      <w:bookmarkStart w:id="44" w:name="_Toc346838833"/>
      <w:bookmarkEnd w:id="42"/>
      <w:r w:rsidRPr="00632A65">
        <w:t>Fondo di riserva di cassa</w:t>
      </w:r>
      <w:bookmarkEnd w:id="43"/>
    </w:p>
    <w:p w:rsidR="004F39DA" w:rsidRPr="00632A65" w:rsidRDefault="004F39DA" w:rsidP="003D76D9">
      <w:pPr>
        <w:pStyle w:val="provvr0"/>
        <w:rPr>
          <w:rFonts w:ascii="Arial" w:hAnsi="Arial" w:cs="Arial"/>
          <w:i/>
          <w:color w:val="17365D"/>
          <w:sz w:val="22"/>
          <w:szCs w:val="22"/>
        </w:rPr>
      </w:pPr>
      <w:r w:rsidRPr="00632A65">
        <w:rPr>
          <w:rFonts w:ascii="Arial" w:hAnsi="Arial" w:cs="Arial"/>
          <w:sz w:val="22"/>
          <w:szCs w:val="22"/>
        </w:rPr>
        <w:t xml:space="preserve">La consistenza del fondo di riserva di cassa rientra nei limiti di cui all’art. 166, comma 2 quater del </w:t>
      </w:r>
      <w:r>
        <w:rPr>
          <w:rFonts w:ascii="Arial" w:hAnsi="Arial" w:cs="Arial"/>
          <w:sz w:val="22"/>
          <w:szCs w:val="22"/>
        </w:rPr>
        <w:t>TUEL</w:t>
      </w:r>
      <w:r w:rsidRPr="00632A65">
        <w:rPr>
          <w:rFonts w:ascii="Arial" w:hAnsi="Arial" w:cs="Arial"/>
          <w:sz w:val="22"/>
          <w:szCs w:val="22"/>
        </w:rPr>
        <w:t xml:space="preserve">. </w:t>
      </w:r>
    </w:p>
    <w:p w:rsidR="004F39DA" w:rsidRPr="00632A65" w:rsidRDefault="004F39DA" w:rsidP="003D76D9">
      <w:pPr>
        <w:pStyle w:val="provvr0"/>
        <w:rPr>
          <w:rFonts w:ascii="Arial" w:hAnsi="Arial" w:cs="Arial"/>
          <w:b/>
          <w:i/>
          <w:sz w:val="20"/>
          <w:szCs w:val="20"/>
        </w:rPr>
      </w:pPr>
    </w:p>
    <w:p w:rsidR="004F39DA" w:rsidRPr="00632A65" w:rsidRDefault="004F39DA" w:rsidP="003D76D9">
      <w:pPr>
        <w:pStyle w:val="provvr0"/>
        <w:rPr>
          <w:rFonts w:ascii="Arial" w:hAnsi="Arial" w:cs="Arial"/>
          <w:b/>
          <w:i/>
          <w:sz w:val="20"/>
          <w:szCs w:val="20"/>
        </w:rPr>
      </w:pPr>
      <w:r>
        <w:rPr>
          <w:rFonts w:ascii="Arial" w:hAnsi="Arial" w:cs="Arial"/>
          <w:b/>
          <w:i/>
          <w:sz w:val="20"/>
          <w:szCs w:val="20"/>
        </w:rPr>
        <w:br w:type="page"/>
      </w:r>
    </w:p>
    <w:p w:rsidR="004F39DA" w:rsidRPr="00632A65" w:rsidRDefault="004F39DA" w:rsidP="003D76D9">
      <w:pPr>
        <w:pStyle w:val="Heading1"/>
        <w:shd w:val="clear" w:color="auto" w:fill="B6DDE8"/>
      </w:pPr>
      <w:bookmarkStart w:id="45" w:name="_SPESE_IN_CONTO"/>
      <w:bookmarkStart w:id="46" w:name="_Toc346838834"/>
      <w:bookmarkStart w:id="47" w:name="_Toc314835200"/>
      <w:bookmarkEnd w:id="44"/>
      <w:bookmarkEnd w:id="45"/>
      <w:r w:rsidRPr="00632A65">
        <w:t>SPESE IN CONTO CAPITALE</w:t>
      </w:r>
      <w:bookmarkEnd w:id="46"/>
      <w:bookmarkEnd w:id="47"/>
    </w:p>
    <w:p w:rsidR="004F39DA" w:rsidRPr="00632A65" w:rsidRDefault="004F39DA" w:rsidP="003D76D9">
      <w:pPr>
        <w:rPr>
          <w:rFonts w:ascii="Arial" w:hAnsi="Arial" w:cs="Arial"/>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L’ammontare della spesa in conto capitale, pari a euro </w:t>
      </w:r>
    </w:p>
    <w:p w:rsidR="004F39DA" w:rsidRPr="00632A65" w:rsidRDefault="004F39DA" w:rsidP="003D76D9">
      <w:pPr>
        <w:jc w:val="both"/>
        <w:rPr>
          <w:rFonts w:ascii="Arial" w:hAnsi="Arial" w:cs="Arial"/>
          <w:sz w:val="22"/>
          <w:szCs w:val="22"/>
        </w:rPr>
      </w:pPr>
      <w:r>
        <w:rPr>
          <w:rFonts w:ascii="Arial" w:hAnsi="Arial" w:cs="Arial"/>
          <w:sz w:val="22"/>
          <w:szCs w:val="22"/>
        </w:rPr>
        <w:t>550.786,14</w:t>
      </w:r>
      <w:r w:rsidRPr="00632A65">
        <w:rPr>
          <w:rFonts w:ascii="Arial" w:hAnsi="Arial" w:cs="Arial"/>
          <w:sz w:val="22"/>
          <w:szCs w:val="22"/>
        </w:rPr>
        <w:t>,</w:t>
      </w:r>
      <w:r>
        <w:rPr>
          <w:rFonts w:ascii="Arial" w:hAnsi="Arial" w:cs="Arial"/>
          <w:sz w:val="22"/>
          <w:szCs w:val="22"/>
        </w:rPr>
        <w:t xml:space="preserve"> </w:t>
      </w:r>
      <w:r w:rsidRPr="00632A65">
        <w:rPr>
          <w:rFonts w:ascii="Arial" w:hAnsi="Arial" w:cs="Arial"/>
          <w:sz w:val="22"/>
          <w:szCs w:val="22"/>
        </w:rPr>
        <w:t>per l’anno 2016</w:t>
      </w:r>
    </w:p>
    <w:p w:rsidR="004F39DA" w:rsidRPr="00632A65" w:rsidRDefault="004F39DA" w:rsidP="003D76D9">
      <w:pPr>
        <w:jc w:val="both"/>
        <w:rPr>
          <w:rFonts w:ascii="Arial" w:hAnsi="Arial" w:cs="Arial"/>
          <w:sz w:val="22"/>
          <w:szCs w:val="22"/>
        </w:rPr>
      </w:pPr>
      <w:r>
        <w:rPr>
          <w:rFonts w:ascii="Arial" w:hAnsi="Arial" w:cs="Arial"/>
          <w:sz w:val="22"/>
          <w:szCs w:val="22"/>
        </w:rPr>
        <w:t>1.730.116,57</w:t>
      </w:r>
      <w:r w:rsidRPr="00632A65">
        <w:rPr>
          <w:rFonts w:ascii="Arial" w:hAnsi="Arial" w:cs="Arial"/>
          <w:sz w:val="22"/>
          <w:szCs w:val="22"/>
        </w:rPr>
        <w:t>per l’anno 2017</w:t>
      </w:r>
    </w:p>
    <w:p w:rsidR="004F39DA" w:rsidRPr="00632A65" w:rsidRDefault="004F39DA" w:rsidP="003D76D9">
      <w:pPr>
        <w:jc w:val="both"/>
        <w:rPr>
          <w:rFonts w:ascii="Arial" w:hAnsi="Arial" w:cs="Arial"/>
          <w:sz w:val="22"/>
          <w:szCs w:val="22"/>
        </w:rPr>
      </w:pPr>
      <w:r>
        <w:rPr>
          <w:rFonts w:ascii="Arial" w:hAnsi="Arial" w:cs="Arial"/>
          <w:sz w:val="22"/>
          <w:szCs w:val="22"/>
        </w:rPr>
        <w:t xml:space="preserve">230.117,45 </w:t>
      </w:r>
      <w:r w:rsidRPr="00632A65">
        <w:rPr>
          <w:rFonts w:ascii="Arial" w:hAnsi="Arial" w:cs="Arial"/>
          <w:sz w:val="22"/>
          <w:szCs w:val="22"/>
        </w:rPr>
        <w:t>per l’anno 2018</w:t>
      </w:r>
    </w:p>
    <w:p w:rsidR="004F39DA" w:rsidRPr="00632A65" w:rsidRDefault="004F39DA" w:rsidP="003D76D9">
      <w:pPr>
        <w:jc w:val="both"/>
        <w:rPr>
          <w:rFonts w:ascii="Arial" w:hAnsi="Arial" w:cs="Arial"/>
          <w:sz w:val="22"/>
          <w:szCs w:val="22"/>
        </w:rPr>
      </w:pPr>
      <w:r w:rsidRPr="00632A65">
        <w:rPr>
          <w:rFonts w:ascii="Arial" w:hAnsi="Arial" w:cs="Arial"/>
          <w:sz w:val="22"/>
          <w:szCs w:val="22"/>
        </w:rPr>
        <w:t>è pareggiata dalle entrate ad essa destinate nel rispetto delle specifiche destinazioni di legge</w:t>
      </w:r>
      <w:r>
        <w:rPr>
          <w:rFonts w:ascii="Arial" w:hAnsi="Arial" w:cs="Arial"/>
          <w:sz w:val="22"/>
          <w:szCs w:val="22"/>
        </w:rPr>
        <w:t>.</w:t>
      </w:r>
    </w:p>
    <w:p w:rsidR="004F39DA" w:rsidRPr="00632A65" w:rsidRDefault="004F39DA" w:rsidP="003D76D9">
      <w:pPr>
        <w:rPr>
          <w:rFonts w:ascii="Arial" w:hAnsi="Arial" w:cs="Arial"/>
          <w:sz w:val="22"/>
          <w:szCs w:val="22"/>
        </w:rPr>
      </w:pPr>
    </w:p>
    <w:p w:rsidR="004F39DA" w:rsidRPr="00632A65" w:rsidRDefault="004F39DA" w:rsidP="003D76D9">
      <w:pPr>
        <w:numPr>
          <w:ilvl w:val="12"/>
          <w:numId w:val="0"/>
        </w:numPr>
        <w:rPr>
          <w:rFonts w:ascii="Arial" w:hAnsi="Arial" w:cs="Arial"/>
          <w:sz w:val="22"/>
          <w:szCs w:val="22"/>
        </w:rPr>
      </w:pPr>
    </w:p>
    <w:p w:rsidR="004F39DA" w:rsidRPr="00632A65" w:rsidRDefault="004F39DA" w:rsidP="003D76D9">
      <w:pPr>
        <w:autoSpaceDE w:val="0"/>
        <w:autoSpaceDN w:val="0"/>
        <w:adjustRightInd w:val="0"/>
        <w:jc w:val="both"/>
        <w:rPr>
          <w:rFonts w:ascii="Arial" w:hAnsi="Arial" w:cs="Arial"/>
          <w:i/>
          <w:color w:val="0000FF"/>
          <w:sz w:val="20"/>
          <w:szCs w:val="20"/>
        </w:rPr>
      </w:pPr>
    </w:p>
    <w:p w:rsidR="004F39DA" w:rsidRPr="00632A65" w:rsidRDefault="004F39DA" w:rsidP="003D76D9">
      <w:pPr>
        <w:jc w:val="both"/>
        <w:rPr>
          <w:rFonts w:ascii="Arial" w:hAnsi="Arial" w:cs="Arial"/>
          <w:b/>
          <w:i/>
          <w:color w:val="0000FF"/>
          <w:sz w:val="18"/>
          <w:szCs w:val="18"/>
        </w:rPr>
      </w:pPr>
    </w:p>
    <w:p w:rsidR="004F39DA" w:rsidRPr="00632A65" w:rsidRDefault="004F39DA" w:rsidP="003D76D9">
      <w:pPr>
        <w:pStyle w:val="provvr0"/>
        <w:rPr>
          <w:rFonts w:ascii="Arial" w:hAnsi="Arial" w:cs="Arial"/>
          <w:b/>
          <w:i/>
          <w:sz w:val="18"/>
          <w:szCs w:val="18"/>
        </w:rPr>
      </w:pPr>
      <w:r w:rsidRPr="00632A65">
        <w:rPr>
          <w:rFonts w:ascii="Arial" w:hAnsi="Arial" w:cs="Arial"/>
          <w:b/>
          <w:color w:val="17365D"/>
          <w:sz w:val="20"/>
        </w:rPr>
        <w:br w:type="page"/>
      </w:r>
    </w:p>
    <w:p w:rsidR="004F39DA" w:rsidRPr="00632A65" w:rsidRDefault="004F39DA" w:rsidP="003D76D9">
      <w:pPr>
        <w:numPr>
          <w:ilvl w:val="12"/>
          <w:numId w:val="0"/>
        </w:numPr>
        <w:rPr>
          <w:rFonts w:ascii="Arial" w:hAnsi="Arial" w:cs="Arial"/>
          <w:b/>
          <w:color w:val="17365D"/>
          <w:sz w:val="20"/>
        </w:rPr>
      </w:pPr>
    </w:p>
    <w:p w:rsidR="004F39DA" w:rsidRPr="00632A65" w:rsidRDefault="004F39DA" w:rsidP="003D76D9">
      <w:pPr>
        <w:pStyle w:val="Heading1"/>
        <w:shd w:val="clear" w:color="auto" w:fill="B6DDE8"/>
      </w:pPr>
      <w:bookmarkStart w:id="48" w:name="_INDEBITAMENTO"/>
      <w:bookmarkStart w:id="49" w:name="_Toc314835201"/>
      <w:bookmarkEnd w:id="48"/>
      <w:r w:rsidRPr="00632A65">
        <w:t>INDEBITAMENTO</w:t>
      </w:r>
      <w:bookmarkEnd w:id="49"/>
    </w:p>
    <w:p w:rsidR="004F39DA" w:rsidRPr="00632A65" w:rsidRDefault="004F39DA" w:rsidP="003D76D9">
      <w:pPr>
        <w:rPr>
          <w:rFonts w:ascii="Arial" w:hAnsi="Arial" w:cs="Arial"/>
        </w:rPr>
      </w:pPr>
    </w:p>
    <w:p w:rsidR="004F39DA" w:rsidRPr="00632A65" w:rsidRDefault="004F39DA" w:rsidP="003D76D9">
      <w:pPr>
        <w:rPr>
          <w:rFonts w:ascii="Arial" w:hAnsi="Arial" w:cs="Arial"/>
        </w:rPr>
      </w:pPr>
    </w:p>
    <w:p w:rsidR="004F39DA" w:rsidRPr="00632A65" w:rsidRDefault="004F39DA" w:rsidP="003D76D9">
      <w:pPr>
        <w:spacing w:after="120"/>
        <w:jc w:val="both"/>
        <w:rPr>
          <w:rFonts w:ascii="Arial" w:hAnsi="Arial" w:cs="Arial"/>
          <w:sz w:val="22"/>
          <w:szCs w:val="22"/>
        </w:rPr>
      </w:pPr>
      <w:r w:rsidRPr="00632A65">
        <w:rPr>
          <w:rFonts w:ascii="Arial" w:hAnsi="Arial" w:cs="Arial"/>
          <w:sz w:val="22"/>
          <w:szCs w:val="22"/>
        </w:rPr>
        <w:t xml:space="preserve">L’ammontare dei prestiti previsti per il finanziamento di spese in conto capitale risulta compatibile per gli anni 2016,2017 e 2018 con il limite della capacità di indebitamento previsto dall’articolo 204 del </w:t>
      </w:r>
      <w:r>
        <w:rPr>
          <w:rFonts w:ascii="Arial" w:hAnsi="Arial" w:cs="Arial"/>
          <w:sz w:val="20"/>
          <w:szCs w:val="20"/>
        </w:rPr>
        <w:t>TUEL</w:t>
      </w:r>
      <w:r w:rsidRPr="00632A65">
        <w:rPr>
          <w:rFonts w:ascii="Arial" w:hAnsi="Arial" w:cs="Arial"/>
          <w:sz w:val="22"/>
          <w:szCs w:val="22"/>
        </w:rPr>
        <w:t xml:space="preserve"> come dimostrato dal calcolo riportato nel seguente prospetto.</w:t>
      </w:r>
    </w:p>
    <w:p w:rsidR="004F39DA" w:rsidRPr="00632A65" w:rsidRDefault="004F39DA" w:rsidP="003D76D9">
      <w:pPr>
        <w:pStyle w:val="Corpodeltesto21"/>
        <w:rPr>
          <w:rFonts w:cs="Arial"/>
          <w:color w:val="0000FF"/>
          <w:sz w:val="18"/>
          <w:szCs w:val="18"/>
        </w:rPr>
      </w:pPr>
    </w:p>
    <w:p w:rsidR="004F39DA" w:rsidRPr="00632A65" w:rsidRDefault="004F39DA" w:rsidP="003D76D9">
      <w:pPr>
        <w:pStyle w:val="Corpodeltesto21"/>
        <w:rPr>
          <w:rFonts w:cs="Arial"/>
          <w:b w:val="0"/>
          <w:i w:val="0"/>
          <w:color w:val="000000"/>
          <w:sz w:val="16"/>
          <w:szCs w:val="16"/>
        </w:rPr>
      </w:pPr>
      <w:r w:rsidRPr="00632A65">
        <w:rPr>
          <w:rFonts w:cs="Arial"/>
          <w:b w:val="0"/>
          <w:i w:val="0"/>
          <w:color w:val="000000"/>
          <w:sz w:val="16"/>
          <w:szCs w:val="16"/>
        </w:rPr>
        <w:object w:dxaOrig="10233" w:dyaOrig="6149">
          <v:shape id="_x0000_i1040" type="#_x0000_t75" style="width:471pt;height:276.75pt" o:ole="">
            <v:imagedata r:id="rId42" o:title=""/>
          </v:shape>
          <o:OLEObject Type="Embed" ProgID="Excel.Sheet.8" ShapeID="_x0000_i1040" DrawAspect="Content" ObjectID="_1547456142" r:id="rId43"/>
        </w:object>
      </w:r>
    </w:p>
    <w:p w:rsidR="004F39DA" w:rsidRPr="00632A65" w:rsidRDefault="004F39DA" w:rsidP="003D76D9">
      <w:pPr>
        <w:pStyle w:val="Corpodeltesto21"/>
        <w:rPr>
          <w:rFonts w:cs="Arial"/>
          <w:b w:val="0"/>
          <w:i w:val="0"/>
          <w:color w:val="000000"/>
          <w:sz w:val="16"/>
          <w:szCs w:val="16"/>
        </w:rPr>
      </w:pPr>
      <w:r w:rsidRPr="00632A65">
        <w:rPr>
          <w:rFonts w:cs="Arial"/>
          <w:b w:val="0"/>
          <w:i w:val="0"/>
          <w:color w:val="000000"/>
          <w:sz w:val="16"/>
          <w:szCs w:val="16"/>
        </w:rPr>
        <w:t>1) per gli enti locali l'importo annuale degli interessi sommato a quello dei mutui precedentemente contratti, a quello dei prestiti obbligazionari precedentemente emessi, a quello delle aperture di credito stipulate ed a quello derivante da garanzie prestate ai sensi dell'articolo 207, al netto dei contributi statali e regionali in conto interessi, non supera il 10 per cento delle entrate relative ai primi tre titoli delle entrate del rendiconto  del penultimo anno precedente quello in cui viene prevista l'assunzione dei mutui. Per le comunità montane si fa riferimento ai primi due titoli delle entrate.  Per gli enti locali di nuova istituzione si fa riferimento, per i primi due anni, ai corrispondenti dati finanziari del bilancio di previsione.</w:t>
      </w:r>
    </w:p>
    <w:p w:rsidR="004F39DA" w:rsidRPr="00632A65" w:rsidRDefault="004F39DA" w:rsidP="003D76D9">
      <w:pPr>
        <w:pStyle w:val="Corpodeltesto21"/>
        <w:rPr>
          <w:rFonts w:cs="Arial"/>
          <w:b w:val="0"/>
          <w:i w:val="0"/>
          <w:color w:val="000000"/>
          <w:sz w:val="16"/>
          <w:szCs w:val="16"/>
        </w:rPr>
      </w:pPr>
      <w:r w:rsidRPr="00632A65">
        <w:rPr>
          <w:rFonts w:cs="Arial"/>
          <w:b w:val="0"/>
          <w:i w:val="0"/>
          <w:color w:val="000000"/>
          <w:sz w:val="16"/>
          <w:szCs w:val="16"/>
        </w:rPr>
        <w:t>2) Con riferimento anche ai finanziamenti imputati contabilmente agli esercizi successivi</w:t>
      </w:r>
    </w:p>
    <w:p w:rsidR="004F39DA" w:rsidRPr="00632A65" w:rsidRDefault="004F39DA" w:rsidP="003D76D9">
      <w:pPr>
        <w:rPr>
          <w:rFonts w:ascii="Arial" w:hAnsi="Arial" w:cs="Arial"/>
          <w:sz w:val="22"/>
          <w:szCs w:val="22"/>
        </w:rPr>
      </w:pPr>
      <w:r w:rsidRPr="00632A65">
        <w:rPr>
          <w:rFonts w:ascii="Arial" w:hAnsi="Arial" w:cs="Arial"/>
          <w:b/>
          <w:i/>
          <w:sz w:val="22"/>
          <w:szCs w:val="22"/>
        </w:rPr>
        <w:br w:type="page"/>
      </w:r>
    </w:p>
    <w:p w:rsidR="004F39DA" w:rsidRPr="00632A65" w:rsidRDefault="004F39DA" w:rsidP="003D76D9">
      <w:pPr>
        <w:pStyle w:val="Corpodeltesto21"/>
        <w:rPr>
          <w:rFonts w:cs="Arial"/>
          <w:b w:val="0"/>
          <w:i w:val="0"/>
          <w:sz w:val="22"/>
          <w:szCs w:val="22"/>
        </w:rPr>
      </w:pPr>
      <w:r w:rsidRPr="00632A65">
        <w:rPr>
          <w:rFonts w:cs="Arial"/>
          <w:b w:val="0"/>
          <w:i w:val="0"/>
          <w:sz w:val="22"/>
          <w:szCs w:val="22"/>
        </w:rPr>
        <w:t xml:space="preserve">L’incidenza degli interessi passivi compresi quelli derivanti da garanzie fideiussorie prestate, sulle entrate correnti del penultimo rendiconto precedente o su quelle previste è così prevista in relazione anche ai limiti di cui al citato art. 204 del </w:t>
      </w:r>
      <w:r>
        <w:rPr>
          <w:rFonts w:cs="Arial"/>
          <w:b w:val="0"/>
          <w:i w:val="0"/>
          <w:sz w:val="20"/>
        </w:rPr>
        <w:t>TUEL</w:t>
      </w:r>
      <w:r w:rsidRPr="00632A65">
        <w:rPr>
          <w:rFonts w:cs="Arial"/>
          <w:b w:val="0"/>
          <w:i w:val="0"/>
          <w:sz w:val="22"/>
          <w:szCs w:val="22"/>
        </w:rPr>
        <w:t>;</w:t>
      </w:r>
    </w:p>
    <w:p w:rsidR="004F39DA" w:rsidRPr="00632A65" w:rsidRDefault="004F39DA" w:rsidP="003D76D9">
      <w:pPr>
        <w:pStyle w:val="Corpodeltesto21"/>
        <w:rPr>
          <w:rFonts w:cs="Arial"/>
          <w:b w:val="0"/>
          <w:i w:val="0"/>
          <w:sz w:val="22"/>
          <w:szCs w:val="22"/>
        </w:rPr>
      </w:pPr>
      <w:r w:rsidRPr="00632A65">
        <w:rPr>
          <w:rFonts w:cs="Arial"/>
          <w:b w:val="0"/>
          <w:i w:val="0"/>
          <w:sz w:val="22"/>
          <w:szCs w:val="22"/>
        </w:rPr>
        <w:object w:dxaOrig="6286" w:dyaOrig="1831">
          <v:shape id="_x0000_i1041" type="#_x0000_t75" style="width:314.25pt;height:90.75pt" o:ole="">
            <v:imagedata r:id="rId44" o:title=""/>
          </v:shape>
          <o:OLEObject Type="Embed" ProgID="Excel.Sheet.12" ShapeID="_x0000_i1041" DrawAspect="Content" ObjectID="_1547456143" r:id="rId45"/>
        </w:object>
      </w:r>
    </w:p>
    <w:p w:rsidR="004F39DA" w:rsidRPr="00632A65" w:rsidRDefault="004F39DA" w:rsidP="003D76D9">
      <w:pPr>
        <w:pStyle w:val="Corpodeltesto21"/>
        <w:rPr>
          <w:rFonts w:cs="Arial"/>
          <w:b w:val="0"/>
          <w:i w:val="0"/>
          <w:sz w:val="22"/>
          <w:szCs w:val="22"/>
        </w:rPr>
      </w:pPr>
    </w:p>
    <w:p w:rsidR="004F39DA" w:rsidRPr="00632A65" w:rsidRDefault="004F39DA" w:rsidP="003D76D9">
      <w:pPr>
        <w:rPr>
          <w:rFonts w:ascii="Arial" w:hAnsi="Arial" w:cs="Arial"/>
        </w:rPr>
      </w:pPr>
    </w:p>
    <w:p w:rsidR="004F39DA" w:rsidRPr="00632A65" w:rsidRDefault="004F39DA" w:rsidP="003D76D9">
      <w:pPr>
        <w:rPr>
          <w:rFonts w:ascii="Arial" w:hAnsi="Arial" w:cs="Arial"/>
          <w:b/>
          <w:sz w:val="22"/>
          <w:szCs w:val="22"/>
          <w:u w:val="single"/>
        </w:rPr>
      </w:pPr>
      <w:r w:rsidRPr="00632A65">
        <w:rPr>
          <w:rFonts w:ascii="Arial" w:hAnsi="Arial" w:cs="Arial"/>
          <w:b/>
          <w:sz w:val="22"/>
          <w:szCs w:val="22"/>
          <w:u w:val="single"/>
        </w:rPr>
        <w:t>Interessi passivi e oneri finanziari diversi</w:t>
      </w:r>
    </w:p>
    <w:p w:rsidR="004F39DA" w:rsidRPr="00632A65" w:rsidRDefault="004F39DA" w:rsidP="003D76D9">
      <w:pPr>
        <w:pStyle w:val="Corpodeltesto21"/>
        <w:spacing w:before="120"/>
        <w:rPr>
          <w:rFonts w:cs="Arial"/>
          <w:b w:val="0"/>
          <w:i w:val="0"/>
          <w:sz w:val="22"/>
          <w:szCs w:val="22"/>
        </w:rPr>
      </w:pPr>
      <w:r w:rsidRPr="00632A65">
        <w:rPr>
          <w:rFonts w:cs="Arial"/>
          <w:b w:val="0"/>
          <w:i w:val="0"/>
          <w:sz w:val="22"/>
          <w:szCs w:val="22"/>
        </w:rPr>
        <w:t xml:space="preserve">La previsione di spesa per gli anni 2016,2017 e 2018 per interessi passivi e oneri finanziari diversi, pari a euro </w:t>
      </w:r>
      <w:r>
        <w:rPr>
          <w:rFonts w:cs="Arial"/>
          <w:b w:val="0"/>
          <w:i w:val="0"/>
          <w:sz w:val="22"/>
          <w:szCs w:val="22"/>
        </w:rPr>
        <w:t xml:space="preserve">39.369,54 </w:t>
      </w:r>
      <w:r w:rsidRPr="00632A65">
        <w:rPr>
          <w:rFonts w:cs="Arial"/>
          <w:b w:val="0"/>
          <w:i w:val="0"/>
          <w:sz w:val="22"/>
          <w:szCs w:val="22"/>
        </w:rPr>
        <w:t xml:space="preserve">è congrua sulla base del riepilogo predisposto dal responsabile del servizio finanziario degli altri prestiti contratti a tutt’oggi e rientra nel limite di indebitamento previsto dall’articolo 204 del </w:t>
      </w:r>
      <w:r>
        <w:rPr>
          <w:rFonts w:cs="Arial"/>
          <w:i w:val="0"/>
          <w:sz w:val="20"/>
        </w:rPr>
        <w:t>TUEL</w:t>
      </w:r>
      <w:r w:rsidRPr="00632A65">
        <w:rPr>
          <w:rFonts w:cs="Arial"/>
          <w:i w:val="0"/>
          <w:sz w:val="20"/>
        </w:rPr>
        <w:t xml:space="preserve"> </w:t>
      </w:r>
      <w:r w:rsidRPr="00632A65">
        <w:rPr>
          <w:rFonts w:cs="Arial"/>
          <w:b w:val="0"/>
          <w:i w:val="0"/>
          <w:sz w:val="22"/>
          <w:szCs w:val="22"/>
        </w:rPr>
        <w:t>come calcolato nel precedente prospetto</w:t>
      </w:r>
      <w:r w:rsidRPr="00632A65">
        <w:rPr>
          <w:rFonts w:cs="Arial"/>
          <w:i w:val="0"/>
          <w:sz w:val="20"/>
        </w:rPr>
        <w:t>.</w:t>
      </w:r>
    </w:p>
    <w:p w:rsidR="004F39DA" w:rsidRPr="00632A65" w:rsidRDefault="004F39DA" w:rsidP="003D76D9">
      <w:pPr>
        <w:widowControl w:val="0"/>
        <w:autoSpaceDE w:val="0"/>
        <w:autoSpaceDN w:val="0"/>
        <w:adjustRightInd w:val="0"/>
        <w:rPr>
          <w:rFonts w:ascii="Arial" w:hAnsi="Arial" w:cs="Arial"/>
          <w:sz w:val="22"/>
          <w:szCs w:val="22"/>
          <w:u w:val="single"/>
        </w:rPr>
      </w:pPr>
    </w:p>
    <w:p w:rsidR="004F39DA" w:rsidRPr="00632A65" w:rsidRDefault="004F39DA" w:rsidP="003D76D9">
      <w:pPr>
        <w:widowControl w:val="0"/>
        <w:autoSpaceDE w:val="0"/>
        <w:autoSpaceDN w:val="0"/>
        <w:adjustRightInd w:val="0"/>
        <w:rPr>
          <w:rFonts w:ascii="Arial" w:hAnsi="Arial" w:cs="Arial"/>
          <w:sz w:val="22"/>
          <w:szCs w:val="22"/>
          <w:u w:val="single"/>
        </w:rPr>
      </w:pPr>
      <w:r w:rsidRPr="00632A65">
        <w:rPr>
          <w:rFonts w:ascii="Arial" w:hAnsi="Arial" w:cs="Arial"/>
          <w:sz w:val="22"/>
          <w:szCs w:val="22"/>
          <w:u w:val="single"/>
        </w:rPr>
        <w:t>L’indebitamento dell’ente subisce la seguente evoluzione:</w:t>
      </w:r>
    </w:p>
    <w:p w:rsidR="004F39DA" w:rsidRPr="00632A65" w:rsidRDefault="004F39DA" w:rsidP="003D76D9">
      <w:pPr>
        <w:widowControl w:val="0"/>
        <w:autoSpaceDE w:val="0"/>
        <w:autoSpaceDN w:val="0"/>
        <w:adjustRightInd w:val="0"/>
        <w:rPr>
          <w:rFonts w:ascii="Arial" w:hAnsi="Arial" w:cs="Arial"/>
          <w:sz w:val="22"/>
          <w:szCs w:val="22"/>
          <w:u w:val="single"/>
        </w:rPr>
      </w:pPr>
    </w:p>
    <w:p w:rsidR="004F39DA" w:rsidRPr="00632A65" w:rsidRDefault="004F39DA" w:rsidP="003D76D9">
      <w:pPr>
        <w:widowControl w:val="0"/>
        <w:autoSpaceDE w:val="0"/>
        <w:autoSpaceDN w:val="0"/>
        <w:adjustRightInd w:val="0"/>
        <w:rPr>
          <w:rFonts w:ascii="Arial" w:hAnsi="Arial" w:cs="Arial"/>
          <w:sz w:val="22"/>
          <w:szCs w:val="22"/>
          <w:u w:val="single"/>
        </w:rPr>
      </w:pPr>
      <w:r w:rsidRPr="00632A65">
        <w:rPr>
          <w:rFonts w:ascii="Arial" w:hAnsi="Arial" w:cs="Arial"/>
          <w:sz w:val="22"/>
          <w:szCs w:val="22"/>
          <w:u w:val="single"/>
        </w:rPr>
        <w:object w:dxaOrig="10349" w:dyaOrig="2052">
          <v:shape id="_x0000_i1042" type="#_x0000_t75" style="width:471pt;height:92.25pt" o:ole="">
            <v:imagedata r:id="rId46" o:title=""/>
          </v:shape>
          <o:OLEObject Type="Embed" ProgID="Excel.Sheet.12" ShapeID="_x0000_i1042" DrawAspect="Content" ObjectID="_1547456144" r:id="rId47"/>
        </w:object>
      </w:r>
    </w:p>
    <w:p w:rsidR="004F39DA" w:rsidRPr="00632A65" w:rsidRDefault="004F39DA" w:rsidP="003D76D9">
      <w:pPr>
        <w:widowControl w:val="0"/>
        <w:autoSpaceDE w:val="0"/>
        <w:autoSpaceDN w:val="0"/>
        <w:adjustRightInd w:val="0"/>
        <w:rPr>
          <w:rFonts w:ascii="Arial" w:hAnsi="Arial" w:cs="Arial"/>
          <w:sz w:val="22"/>
          <w:szCs w:val="22"/>
          <w:u w:val="single"/>
        </w:rPr>
      </w:pPr>
    </w:p>
    <w:p w:rsidR="004F39DA" w:rsidRPr="00632A65" w:rsidRDefault="004F39DA" w:rsidP="003D76D9">
      <w:pPr>
        <w:widowControl w:val="0"/>
        <w:autoSpaceDE w:val="0"/>
        <w:autoSpaceDN w:val="0"/>
        <w:adjustRightInd w:val="0"/>
        <w:spacing w:after="60"/>
        <w:rPr>
          <w:rFonts w:ascii="Arial" w:hAnsi="Arial" w:cs="Arial"/>
          <w:sz w:val="22"/>
          <w:szCs w:val="22"/>
        </w:rPr>
      </w:pPr>
    </w:p>
    <w:p w:rsidR="004F39DA" w:rsidRPr="00632A65" w:rsidRDefault="004F39DA" w:rsidP="003D76D9">
      <w:pPr>
        <w:widowControl w:val="0"/>
        <w:autoSpaceDE w:val="0"/>
        <w:autoSpaceDN w:val="0"/>
        <w:adjustRightInd w:val="0"/>
        <w:jc w:val="both"/>
        <w:rPr>
          <w:rFonts w:ascii="Arial" w:hAnsi="Arial" w:cs="Arial"/>
          <w:sz w:val="22"/>
          <w:szCs w:val="22"/>
        </w:rPr>
      </w:pPr>
      <w:r w:rsidRPr="00632A65">
        <w:rPr>
          <w:rFonts w:ascii="Arial" w:hAnsi="Arial" w:cs="Arial"/>
          <w:sz w:val="22"/>
          <w:szCs w:val="22"/>
        </w:rPr>
        <w:t>Gli oneri finanziari per ammortamento prestiti ed il rimborso degli stessi in conto capitale registra la seguente evoluzione:</w:t>
      </w:r>
    </w:p>
    <w:p w:rsidR="004F39DA" w:rsidRPr="00632A65" w:rsidRDefault="004F39DA" w:rsidP="003D76D9">
      <w:pPr>
        <w:widowControl w:val="0"/>
        <w:autoSpaceDE w:val="0"/>
        <w:autoSpaceDN w:val="0"/>
        <w:adjustRightInd w:val="0"/>
        <w:jc w:val="both"/>
        <w:rPr>
          <w:rFonts w:ascii="Arial" w:hAnsi="Arial" w:cs="Arial"/>
          <w:sz w:val="22"/>
          <w:szCs w:val="22"/>
        </w:rPr>
      </w:pPr>
    </w:p>
    <w:p w:rsidR="004F39DA" w:rsidRPr="00632A65" w:rsidRDefault="004F39DA" w:rsidP="003D76D9">
      <w:pPr>
        <w:widowControl w:val="0"/>
        <w:autoSpaceDE w:val="0"/>
        <w:autoSpaceDN w:val="0"/>
        <w:adjustRightInd w:val="0"/>
        <w:jc w:val="both"/>
        <w:rPr>
          <w:rFonts w:ascii="Arial" w:hAnsi="Arial" w:cs="Arial"/>
          <w:sz w:val="22"/>
          <w:szCs w:val="22"/>
        </w:rPr>
      </w:pPr>
      <w:r w:rsidRPr="00632A65">
        <w:rPr>
          <w:rFonts w:ascii="Arial" w:hAnsi="Arial" w:cs="Arial"/>
          <w:sz w:val="22"/>
          <w:szCs w:val="22"/>
        </w:rPr>
        <w:object w:dxaOrig="9238" w:dyaOrig="1181">
          <v:shape id="_x0000_i1043" type="#_x0000_t75" style="width:471pt;height:60pt" o:ole="">
            <v:imagedata r:id="rId48" o:title=""/>
          </v:shape>
          <o:OLEObject Type="Embed" ProgID="Excel.Sheet.12" ShapeID="_x0000_i1043" DrawAspect="Content" ObjectID="_1547456145" r:id="rId49"/>
        </w:object>
      </w:r>
    </w:p>
    <w:p w:rsidR="004F39DA" w:rsidRPr="00632A65" w:rsidRDefault="004F39DA" w:rsidP="003D76D9">
      <w:pPr>
        <w:widowControl w:val="0"/>
        <w:autoSpaceDE w:val="0"/>
        <w:autoSpaceDN w:val="0"/>
        <w:adjustRightInd w:val="0"/>
        <w:jc w:val="both"/>
        <w:rPr>
          <w:rFonts w:ascii="Arial" w:hAnsi="Arial" w:cs="Arial"/>
          <w:sz w:val="22"/>
          <w:szCs w:val="22"/>
        </w:rPr>
      </w:pPr>
    </w:p>
    <w:p w:rsidR="004F39DA" w:rsidRPr="00632A65" w:rsidRDefault="004F39DA" w:rsidP="003D76D9">
      <w:pPr>
        <w:widowControl w:val="0"/>
        <w:autoSpaceDE w:val="0"/>
        <w:autoSpaceDN w:val="0"/>
        <w:adjustRightInd w:val="0"/>
        <w:jc w:val="both"/>
        <w:rPr>
          <w:rFonts w:ascii="Arial" w:hAnsi="Arial" w:cs="Arial"/>
          <w:sz w:val="22"/>
          <w:szCs w:val="22"/>
        </w:rPr>
      </w:pPr>
    </w:p>
    <w:p w:rsidR="004F39DA" w:rsidRPr="00632A65" w:rsidRDefault="004F39DA" w:rsidP="003D76D9">
      <w:pPr>
        <w:widowControl w:val="0"/>
        <w:autoSpaceDE w:val="0"/>
        <w:autoSpaceDN w:val="0"/>
        <w:adjustRightInd w:val="0"/>
        <w:jc w:val="both"/>
        <w:rPr>
          <w:rFonts w:ascii="Arial" w:hAnsi="Arial" w:cs="Arial"/>
          <w:sz w:val="22"/>
          <w:szCs w:val="22"/>
        </w:rPr>
      </w:pPr>
    </w:p>
    <w:p w:rsidR="004F39DA" w:rsidRPr="00632A65" w:rsidRDefault="004F39DA" w:rsidP="003D76D9">
      <w:pPr>
        <w:tabs>
          <w:tab w:val="left" w:pos="4820"/>
        </w:tabs>
        <w:rPr>
          <w:rFonts w:ascii="Arial" w:hAnsi="Arial" w:cs="Arial"/>
        </w:rPr>
      </w:pPr>
      <w:r w:rsidRPr="00632A65">
        <w:rPr>
          <w:rFonts w:ascii="Arial" w:hAnsi="Arial" w:cs="Arial"/>
        </w:rPr>
        <w:br w:type="page"/>
      </w:r>
    </w:p>
    <w:p w:rsidR="004F39DA" w:rsidRPr="00632A65" w:rsidRDefault="004F39DA" w:rsidP="003D76D9">
      <w:pPr>
        <w:pStyle w:val="Heading1"/>
        <w:shd w:val="clear" w:color="auto" w:fill="B6DDE8"/>
        <w:rPr>
          <w:sz w:val="32"/>
          <w:szCs w:val="32"/>
        </w:rPr>
      </w:pPr>
      <w:bookmarkStart w:id="50" w:name="_Toc408988076"/>
      <w:bookmarkStart w:id="51" w:name="_Toc314835202"/>
      <w:r w:rsidRPr="00632A65">
        <w:rPr>
          <w:sz w:val="32"/>
          <w:szCs w:val="32"/>
        </w:rPr>
        <w:t>OSSERVAZIONI E SUGGERIMENTI</w:t>
      </w:r>
      <w:bookmarkEnd w:id="50"/>
      <w:bookmarkEnd w:id="51"/>
    </w:p>
    <w:p w:rsidR="004F39DA" w:rsidRPr="00632A65" w:rsidRDefault="004F39DA" w:rsidP="003D76D9">
      <w:pPr>
        <w:tabs>
          <w:tab w:val="left" w:pos="4820"/>
        </w:tabs>
        <w:rPr>
          <w:rFonts w:ascii="Arial" w:hAnsi="Arial" w:cs="Arial"/>
        </w:rPr>
      </w:pPr>
    </w:p>
    <w:p w:rsidR="004F39DA" w:rsidRPr="00632A65" w:rsidRDefault="004F39DA" w:rsidP="003D76D9">
      <w:pPr>
        <w:tabs>
          <w:tab w:val="left" w:pos="4820"/>
        </w:tabs>
        <w:jc w:val="both"/>
        <w:rPr>
          <w:rFonts w:ascii="Arial" w:hAnsi="Arial" w:cs="Arial"/>
          <w:sz w:val="22"/>
          <w:szCs w:val="22"/>
        </w:rPr>
      </w:pPr>
      <w:r w:rsidRPr="00632A65">
        <w:rPr>
          <w:rFonts w:ascii="Arial" w:hAnsi="Arial" w:cs="Arial"/>
          <w:b/>
          <w:sz w:val="20"/>
          <w:szCs w:val="20"/>
        </w:rPr>
        <w:t xml:space="preserve"> </w:t>
      </w:r>
      <w:r>
        <w:rPr>
          <w:rFonts w:ascii="Arial" w:hAnsi="Arial" w:cs="Arial"/>
          <w:sz w:val="22"/>
          <w:szCs w:val="22"/>
        </w:rPr>
        <w:t>Il Revisore dei Conti</w:t>
      </w:r>
      <w:r w:rsidRPr="00632A65">
        <w:rPr>
          <w:rFonts w:ascii="Arial" w:hAnsi="Arial" w:cs="Arial"/>
          <w:sz w:val="22"/>
          <w:szCs w:val="22"/>
        </w:rPr>
        <w:t xml:space="preserve"> a conclusione delle verifiche esposte nei punti precedenti considera:</w:t>
      </w:r>
    </w:p>
    <w:p w:rsidR="004F39DA" w:rsidRPr="00632A65" w:rsidRDefault="004F39DA" w:rsidP="003D76D9">
      <w:pPr>
        <w:tabs>
          <w:tab w:val="left" w:pos="4820"/>
        </w:tabs>
        <w:jc w:val="both"/>
        <w:rPr>
          <w:rFonts w:ascii="Arial" w:hAnsi="Arial" w:cs="Arial"/>
          <w:sz w:val="20"/>
        </w:rPr>
      </w:pPr>
    </w:p>
    <w:p w:rsidR="004F39DA" w:rsidRPr="00632A65" w:rsidRDefault="004F39DA" w:rsidP="003D76D9">
      <w:pPr>
        <w:tabs>
          <w:tab w:val="left" w:pos="4820"/>
        </w:tabs>
        <w:jc w:val="both"/>
        <w:rPr>
          <w:rFonts w:ascii="Arial" w:hAnsi="Arial" w:cs="Arial"/>
          <w:b/>
          <w:sz w:val="22"/>
          <w:szCs w:val="22"/>
        </w:rPr>
      </w:pPr>
      <w:r w:rsidRPr="00632A65">
        <w:rPr>
          <w:rFonts w:ascii="Arial" w:hAnsi="Arial" w:cs="Arial"/>
          <w:b/>
          <w:sz w:val="22"/>
          <w:szCs w:val="22"/>
        </w:rPr>
        <w:t>a)</w:t>
      </w:r>
      <w:r w:rsidRPr="00632A65">
        <w:rPr>
          <w:rFonts w:ascii="Arial" w:hAnsi="Arial" w:cs="Arial"/>
          <w:sz w:val="22"/>
          <w:szCs w:val="22"/>
        </w:rPr>
        <w:t xml:space="preserve"> </w:t>
      </w:r>
      <w:r w:rsidRPr="00632A65">
        <w:rPr>
          <w:rFonts w:ascii="Arial" w:hAnsi="Arial" w:cs="Arial"/>
          <w:b/>
          <w:sz w:val="22"/>
          <w:szCs w:val="22"/>
        </w:rPr>
        <w:t xml:space="preserve">Riguardo alle previsioni di parte corrente </w:t>
      </w:r>
    </w:p>
    <w:p w:rsidR="004F39DA" w:rsidRPr="00632A65" w:rsidRDefault="004F39DA" w:rsidP="003D76D9">
      <w:pPr>
        <w:tabs>
          <w:tab w:val="left" w:pos="4820"/>
        </w:tabs>
        <w:spacing w:line="80" w:lineRule="exact"/>
        <w:jc w:val="both"/>
        <w:rPr>
          <w:rFonts w:ascii="Arial" w:hAnsi="Arial" w:cs="Arial"/>
          <w:sz w:val="22"/>
          <w:szCs w:val="22"/>
        </w:rPr>
      </w:pPr>
    </w:p>
    <w:p w:rsidR="004F39DA" w:rsidRPr="00632A65" w:rsidRDefault="004F39DA" w:rsidP="003D76D9">
      <w:pPr>
        <w:tabs>
          <w:tab w:val="left" w:pos="4820"/>
        </w:tabs>
        <w:jc w:val="both"/>
        <w:rPr>
          <w:rFonts w:ascii="Arial" w:hAnsi="Arial" w:cs="Arial"/>
          <w:sz w:val="22"/>
          <w:szCs w:val="22"/>
        </w:rPr>
      </w:pPr>
      <w:r w:rsidRPr="00632A65">
        <w:rPr>
          <w:rFonts w:ascii="Arial" w:hAnsi="Arial" w:cs="Arial"/>
          <w:sz w:val="22"/>
          <w:szCs w:val="22"/>
        </w:rPr>
        <w:t xml:space="preserve">1) Congrue le previsioni di spesa ed attendibili le entrate previste sulla base:  </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 xml:space="preserve">delle risultanze del rendiconto 2015;      </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 xml:space="preserve">alla salvaguardia degli equilibri effettuata ai sensi dell'art. 193 del </w:t>
      </w:r>
      <w:r>
        <w:rPr>
          <w:rFonts w:ascii="Arial" w:hAnsi="Arial" w:cs="Arial"/>
          <w:sz w:val="20"/>
          <w:szCs w:val="20"/>
        </w:rPr>
        <w:t>TUEL</w:t>
      </w:r>
      <w:r w:rsidRPr="00632A65">
        <w:rPr>
          <w:rFonts w:ascii="Arial" w:hAnsi="Arial" w:cs="Arial"/>
          <w:sz w:val="22"/>
          <w:szCs w:val="22"/>
        </w:rPr>
        <w:t>;</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 xml:space="preserve">della valutazione del gettito effettivamente accertabile per i diversi cespiti d’entrata; </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i riflessi delle decisioni già prese e di quelle da effettuare descritte nel DUP;</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gli oneri indotti delle spese in conto capitale;</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gli oneri derivanti dalle assunzioni di prestiti</w:t>
      </w:r>
      <w:r>
        <w:rPr>
          <w:rFonts w:ascii="Arial" w:hAnsi="Arial" w:cs="Arial"/>
          <w:sz w:val="22"/>
          <w:szCs w:val="22"/>
        </w:rPr>
        <w:t xml:space="preserve"> in essere;</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degli effetti derivanti da spese disposte da leggi, contratti ed atti che obbligano giuridicamente l’ente;</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degli effetti derivanti dalla manovra finanziaria che l’ente ha attuato sulle entrate e sulle spese;</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dei vincoli sulle spese e riduzioni dei trasferimenti erariali;</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dei vincoli disposti per il rispetto del saldo obiettivo di finanza pubblica e delle norme relative al concorso degli enti locali alla realizzazione degli obiettivi di finanza pubblica;</w:t>
      </w:r>
    </w:p>
    <w:p w:rsidR="004F39DA" w:rsidRPr="00632A65" w:rsidRDefault="004F39DA" w:rsidP="00BD1C6B">
      <w:pPr>
        <w:numPr>
          <w:ilvl w:val="0"/>
          <w:numId w:val="6"/>
        </w:numPr>
        <w:ind w:left="357" w:hanging="357"/>
        <w:jc w:val="both"/>
        <w:rPr>
          <w:rFonts w:ascii="Arial" w:hAnsi="Arial" w:cs="Arial"/>
          <w:sz w:val="22"/>
          <w:szCs w:val="22"/>
        </w:rPr>
      </w:pPr>
      <w:r w:rsidRPr="00632A65">
        <w:rPr>
          <w:rFonts w:ascii="Arial" w:hAnsi="Arial" w:cs="Arial"/>
          <w:sz w:val="22"/>
          <w:szCs w:val="22"/>
        </w:rPr>
        <w:t>della quantificazione del fondo crediti di dubbia esigibilità;</w:t>
      </w:r>
    </w:p>
    <w:p w:rsidR="004F39DA" w:rsidRPr="00632A65" w:rsidRDefault="004F39DA" w:rsidP="00BD1C6B">
      <w:pPr>
        <w:numPr>
          <w:ilvl w:val="0"/>
          <w:numId w:val="6"/>
        </w:numPr>
        <w:ind w:left="357" w:hanging="357"/>
        <w:jc w:val="both"/>
        <w:rPr>
          <w:rFonts w:ascii="Arial" w:hAnsi="Arial" w:cs="Arial"/>
          <w:color w:val="0000FF"/>
          <w:sz w:val="20"/>
          <w:szCs w:val="20"/>
        </w:rPr>
      </w:pPr>
      <w:r w:rsidRPr="00632A65">
        <w:rPr>
          <w:rFonts w:ascii="Arial" w:hAnsi="Arial" w:cs="Arial"/>
          <w:sz w:val="22"/>
          <w:szCs w:val="22"/>
        </w:rPr>
        <w:t>dei seguenti elementi</w:t>
      </w:r>
      <w:r w:rsidRPr="00632A65">
        <w:rPr>
          <w:rFonts w:ascii="Arial" w:hAnsi="Arial" w:cs="Arial"/>
          <w:color w:val="0000FF"/>
          <w:sz w:val="20"/>
          <w:szCs w:val="20"/>
        </w:rPr>
        <w:t>:</w:t>
      </w:r>
    </w:p>
    <w:p w:rsidR="004F39DA" w:rsidRPr="00632A65" w:rsidRDefault="004F39DA" w:rsidP="003D76D9">
      <w:pPr>
        <w:jc w:val="both"/>
        <w:rPr>
          <w:rFonts w:ascii="Arial" w:hAnsi="Arial" w:cs="Arial"/>
          <w:color w:val="0000FF"/>
          <w:sz w:val="20"/>
        </w:rPr>
      </w:pPr>
      <w:r w:rsidRPr="00632A65">
        <w:rPr>
          <w:rFonts w:ascii="Arial" w:hAnsi="Arial" w:cs="Arial"/>
          <w:color w:val="0000FF"/>
          <w:sz w:val="20"/>
        </w:rPr>
        <w:t xml:space="preserve">             </w:t>
      </w:r>
    </w:p>
    <w:p w:rsidR="004F39DA" w:rsidRPr="00632A65" w:rsidRDefault="004F39DA" w:rsidP="003D76D9">
      <w:pPr>
        <w:tabs>
          <w:tab w:val="left" w:pos="4820"/>
        </w:tabs>
        <w:spacing w:line="80" w:lineRule="exact"/>
        <w:rPr>
          <w:rFonts w:ascii="Arial" w:hAnsi="Arial" w:cs="Arial"/>
          <w:sz w:val="20"/>
        </w:rPr>
      </w:pPr>
    </w:p>
    <w:p w:rsidR="004F39DA" w:rsidRPr="00632A65" w:rsidRDefault="004F39DA" w:rsidP="003D76D9">
      <w:pPr>
        <w:tabs>
          <w:tab w:val="left" w:pos="4820"/>
        </w:tabs>
        <w:rPr>
          <w:rFonts w:ascii="Arial" w:hAnsi="Arial" w:cs="Arial"/>
          <w:color w:val="0000FF"/>
          <w:sz w:val="20"/>
        </w:rPr>
      </w:pPr>
    </w:p>
    <w:p w:rsidR="004F39DA" w:rsidRPr="00632A65" w:rsidRDefault="004F39DA" w:rsidP="003D76D9">
      <w:pPr>
        <w:rPr>
          <w:rFonts w:ascii="Arial" w:hAnsi="Arial" w:cs="Arial"/>
          <w:b/>
          <w:sz w:val="22"/>
          <w:szCs w:val="22"/>
        </w:rPr>
      </w:pPr>
      <w:r w:rsidRPr="00632A65">
        <w:rPr>
          <w:rFonts w:ascii="Arial" w:hAnsi="Arial" w:cs="Arial"/>
          <w:b/>
          <w:sz w:val="22"/>
          <w:szCs w:val="22"/>
        </w:rPr>
        <w:t>b) Riguardo alle previsioni per investimenti</w:t>
      </w:r>
    </w:p>
    <w:p w:rsidR="004F39DA" w:rsidRPr="00632A65" w:rsidRDefault="004F39DA" w:rsidP="003D76D9">
      <w:pPr>
        <w:tabs>
          <w:tab w:val="left" w:pos="4820"/>
        </w:tabs>
        <w:spacing w:line="80" w:lineRule="exact"/>
        <w:rPr>
          <w:rFonts w:ascii="Arial" w:hAnsi="Arial" w:cs="Arial"/>
          <w:sz w:val="22"/>
          <w:szCs w:val="22"/>
        </w:rPr>
      </w:pPr>
    </w:p>
    <w:p w:rsidR="004F39DA" w:rsidRPr="00632A65" w:rsidRDefault="004F39DA" w:rsidP="003D76D9">
      <w:pPr>
        <w:jc w:val="both"/>
        <w:rPr>
          <w:rFonts w:ascii="Arial" w:hAnsi="Arial" w:cs="Arial"/>
          <w:sz w:val="22"/>
          <w:szCs w:val="22"/>
        </w:rPr>
      </w:pPr>
      <w:r w:rsidRPr="00632A65">
        <w:rPr>
          <w:rFonts w:ascii="Arial" w:hAnsi="Arial" w:cs="Arial"/>
          <w:sz w:val="22"/>
          <w:szCs w:val="22"/>
        </w:rPr>
        <w:t>Conforme la previsione dei mezzi di copertura finanziaria e delle spese per investimenti, all’elenco annuale degli interventi ed al programma triennale dei lavori pubblici, allegati al bilancio.</w:t>
      </w:r>
    </w:p>
    <w:p w:rsidR="004F39DA" w:rsidRPr="00632A65" w:rsidRDefault="004F39DA" w:rsidP="003D76D9">
      <w:pPr>
        <w:jc w:val="both"/>
        <w:rPr>
          <w:rFonts w:ascii="Arial" w:hAnsi="Arial" w:cs="Arial"/>
          <w:sz w:val="22"/>
          <w:szCs w:val="22"/>
        </w:rPr>
      </w:pPr>
      <w:r w:rsidRPr="00632A65">
        <w:rPr>
          <w:rFonts w:ascii="Arial" w:hAnsi="Arial" w:cs="Arial"/>
          <w:sz w:val="22"/>
          <w:szCs w:val="22"/>
        </w:rPr>
        <w:t>Coerente la previsione di spesa per investimenti con il programma amministrativo, il DUP, il piano triennale dei lavori pubblici</w:t>
      </w:r>
      <w:r>
        <w:rPr>
          <w:rFonts w:ascii="Arial" w:hAnsi="Arial" w:cs="Arial"/>
          <w:sz w:val="22"/>
          <w:szCs w:val="22"/>
        </w:rPr>
        <w:t xml:space="preserve"> (non risulta allegato </w:t>
      </w:r>
      <w:r w:rsidRPr="00632A65">
        <w:rPr>
          <w:rFonts w:ascii="Arial" w:hAnsi="Arial" w:cs="Arial"/>
          <w:sz w:val="22"/>
          <w:szCs w:val="22"/>
        </w:rPr>
        <w:t xml:space="preserve">il </w:t>
      </w:r>
      <w:r w:rsidRPr="00C5347C">
        <w:rPr>
          <w:rFonts w:ascii="Arial" w:hAnsi="Arial" w:cs="Arial"/>
          <w:sz w:val="22"/>
          <w:szCs w:val="22"/>
        </w:rPr>
        <w:t>crono programma dei pagamenti</w:t>
      </w:r>
      <w:r>
        <w:rPr>
          <w:rFonts w:ascii="Arial" w:hAnsi="Arial" w:cs="Arial"/>
          <w:sz w:val="22"/>
          <w:szCs w:val="22"/>
        </w:rPr>
        <w:t>)</w:t>
      </w:r>
      <w:r w:rsidRPr="00632A65">
        <w:rPr>
          <w:rFonts w:ascii="Arial" w:hAnsi="Arial" w:cs="Arial"/>
          <w:sz w:val="22"/>
          <w:szCs w:val="22"/>
        </w:rPr>
        <w:t>, ritenendo che la realizzazione degli interventi previsti sarà possibile a condizione che siano concretamente reperiti</w:t>
      </w:r>
      <w:r>
        <w:rPr>
          <w:rFonts w:ascii="Arial" w:hAnsi="Arial" w:cs="Arial"/>
          <w:sz w:val="22"/>
          <w:szCs w:val="22"/>
        </w:rPr>
        <w:t xml:space="preserve"> i finanziamenti individuati come da note della Provincia e della Ras.</w:t>
      </w:r>
    </w:p>
    <w:p w:rsidR="004F39DA" w:rsidRPr="00632A65" w:rsidRDefault="004F39DA" w:rsidP="003D76D9">
      <w:pPr>
        <w:rPr>
          <w:rFonts w:ascii="Arial" w:hAnsi="Arial" w:cs="Arial"/>
          <w:sz w:val="20"/>
        </w:rPr>
      </w:pPr>
    </w:p>
    <w:p w:rsidR="004F39DA" w:rsidRPr="00BD1C6B" w:rsidRDefault="004F39DA" w:rsidP="00BD1C6B">
      <w:pPr>
        <w:rPr>
          <w:rFonts w:ascii="Arial" w:hAnsi="Arial" w:cs="Arial"/>
          <w:b/>
          <w:sz w:val="20"/>
        </w:rPr>
      </w:pPr>
      <w:r>
        <w:rPr>
          <w:rFonts w:ascii="Arial" w:hAnsi="Arial" w:cs="Arial"/>
          <w:b/>
          <w:sz w:val="20"/>
        </w:rPr>
        <w:t xml:space="preserve">c) </w:t>
      </w:r>
      <w:r w:rsidRPr="00BD1C6B">
        <w:rPr>
          <w:rFonts w:ascii="Arial" w:hAnsi="Arial" w:cs="Arial"/>
          <w:b/>
          <w:sz w:val="20"/>
        </w:rPr>
        <w:t xml:space="preserve">Riguardo agli obiettivi di finanza pubblica </w:t>
      </w:r>
    </w:p>
    <w:p w:rsidR="004F39DA" w:rsidRPr="00632A65" w:rsidRDefault="004F39DA" w:rsidP="003D76D9">
      <w:pPr>
        <w:rPr>
          <w:rFonts w:ascii="Arial" w:hAnsi="Arial" w:cs="Arial"/>
          <w:sz w:val="22"/>
          <w:szCs w:val="22"/>
        </w:rPr>
      </w:pPr>
      <w:r w:rsidRPr="00632A65">
        <w:rPr>
          <w:rFonts w:ascii="Arial" w:hAnsi="Arial" w:cs="Arial"/>
          <w:sz w:val="22"/>
          <w:szCs w:val="22"/>
        </w:rPr>
        <w:t>Con le previsioni contenute nello schema di bilancio, l’ente può conseguire negli anni 2016, 2017 e 2018, gli obiettivi di finanza pubblica.</w:t>
      </w:r>
    </w:p>
    <w:p w:rsidR="004F39DA" w:rsidRPr="00632A65" w:rsidRDefault="004F39DA" w:rsidP="003D76D9">
      <w:pPr>
        <w:rPr>
          <w:rFonts w:ascii="Arial" w:hAnsi="Arial" w:cs="Arial"/>
          <w:sz w:val="22"/>
          <w:szCs w:val="22"/>
        </w:rPr>
      </w:pPr>
    </w:p>
    <w:p w:rsidR="004F39DA" w:rsidRPr="00632A65" w:rsidRDefault="004F39DA" w:rsidP="00345E77">
      <w:pPr>
        <w:contextualSpacing/>
        <w:jc w:val="both"/>
        <w:rPr>
          <w:rFonts w:ascii="Arial" w:hAnsi="Arial" w:cs="Arial"/>
          <w:b/>
          <w:sz w:val="22"/>
          <w:szCs w:val="22"/>
        </w:rPr>
      </w:pPr>
      <w:r>
        <w:rPr>
          <w:rFonts w:ascii="Arial" w:hAnsi="Arial" w:cs="Arial"/>
          <w:b/>
          <w:sz w:val="22"/>
          <w:szCs w:val="22"/>
        </w:rPr>
        <w:t xml:space="preserve">d) </w:t>
      </w:r>
      <w:r w:rsidRPr="00632A65">
        <w:rPr>
          <w:rFonts w:ascii="Arial" w:hAnsi="Arial" w:cs="Arial"/>
          <w:b/>
          <w:sz w:val="22"/>
          <w:szCs w:val="22"/>
        </w:rPr>
        <w:t>riguardo alle previsioni di cassa</w:t>
      </w:r>
    </w:p>
    <w:p w:rsidR="004F39DA" w:rsidRPr="00632A65" w:rsidRDefault="004F39DA" w:rsidP="003D76D9">
      <w:pPr>
        <w:jc w:val="both"/>
        <w:rPr>
          <w:rFonts w:ascii="Arial" w:hAnsi="Arial" w:cs="Arial"/>
          <w:sz w:val="22"/>
          <w:szCs w:val="22"/>
        </w:rPr>
      </w:pPr>
      <w:r w:rsidRPr="00632A65">
        <w:rPr>
          <w:rFonts w:ascii="Arial" w:hAnsi="Arial" w:cs="Arial"/>
          <w:sz w:val="22"/>
          <w:szCs w:val="22"/>
        </w:rPr>
        <w:t>Le previsioni di cassa sono attendibili in relazione all’esigibilità dei residui attivi e delle entrate di competenza e congrue in relazione al rispetto dei termini di pagamento.</w:t>
      </w:r>
    </w:p>
    <w:p w:rsidR="004F39DA" w:rsidRPr="00632A65" w:rsidRDefault="004F39DA" w:rsidP="003D76D9">
      <w:pPr>
        <w:jc w:val="both"/>
        <w:rPr>
          <w:rFonts w:ascii="Arial" w:hAnsi="Arial" w:cs="Arial"/>
          <w:sz w:val="22"/>
          <w:szCs w:val="22"/>
        </w:rPr>
      </w:pPr>
    </w:p>
    <w:p w:rsidR="004F39DA" w:rsidRPr="00632A65" w:rsidRDefault="004F39DA" w:rsidP="003D76D9">
      <w:pPr>
        <w:jc w:val="both"/>
        <w:rPr>
          <w:rFonts w:ascii="Arial" w:hAnsi="Arial" w:cs="Arial"/>
          <w:b/>
          <w:sz w:val="22"/>
          <w:szCs w:val="22"/>
        </w:rPr>
      </w:pPr>
      <w:r w:rsidRPr="00632A65">
        <w:rPr>
          <w:rFonts w:ascii="Arial" w:hAnsi="Arial" w:cs="Arial"/>
          <w:b/>
          <w:sz w:val="22"/>
          <w:szCs w:val="22"/>
        </w:rPr>
        <w:t>e) Salvaguardia equilibri</w:t>
      </w:r>
    </w:p>
    <w:p w:rsidR="004F39DA" w:rsidRPr="00632A65" w:rsidRDefault="004F39DA" w:rsidP="003D76D9">
      <w:pPr>
        <w:jc w:val="both"/>
        <w:rPr>
          <w:rFonts w:ascii="Arial" w:hAnsi="Arial" w:cs="Arial"/>
          <w:sz w:val="22"/>
          <w:szCs w:val="22"/>
        </w:rPr>
      </w:pPr>
      <w:r w:rsidRPr="00632A65">
        <w:rPr>
          <w:rFonts w:ascii="Arial" w:hAnsi="Arial" w:cs="Arial"/>
          <w:sz w:val="22"/>
          <w:szCs w:val="22"/>
        </w:rPr>
        <w:t>In sede di salvaguardia degli equilibri sarà possibile modificare le tariffe ed aliquote dei tributi di propria competenza in deroga all’art.1, comma 169</w:t>
      </w:r>
      <w:r>
        <w:rPr>
          <w:rFonts w:ascii="Arial" w:hAnsi="Arial" w:cs="Arial"/>
          <w:sz w:val="22"/>
          <w:szCs w:val="22"/>
        </w:rPr>
        <w:t xml:space="preserve">, </w:t>
      </w:r>
      <w:r w:rsidRPr="00632A65">
        <w:rPr>
          <w:rFonts w:ascii="Arial" w:hAnsi="Arial" w:cs="Arial"/>
          <w:sz w:val="22"/>
          <w:szCs w:val="22"/>
        </w:rPr>
        <w:t xml:space="preserve">della </w:t>
      </w:r>
      <w:r>
        <w:rPr>
          <w:rFonts w:ascii="Arial" w:hAnsi="Arial" w:cs="Arial"/>
          <w:sz w:val="22"/>
          <w:szCs w:val="22"/>
        </w:rPr>
        <w:t xml:space="preserve">legge </w:t>
      </w:r>
      <w:r w:rsidRPr="00632A65">
        <w:rPr>
          <w:rFonts w:ascii="Arial" w:hAnsi="Arial" w:cs="Arial"/>
          <w:sz w:val="22"/>
          <w:szCs w:val="22"/>
        </w:rPr>
        <w:t>296/2006.</w:t>
      </w:r>
    </w:p>
    <w:p w:rsidR="004F39DA" w:rsidRPr="00632A65" w:rsidRDefault="004F39DA" w:rsidP="003D76D9">
      <w:pPr>
        <w:jc w:val="both"/>
        <w:rPr>
          <w:rFonts w:ascii="Arial" w:hAnsi="Arial" w:cs="Arial"/>
          <w:sz w:val="22"/>
          <w:szCs w:val="22"/>
        </w:rPr>
      </w:pPr>
      <w:r w:rsidRPr="00632A65">
        <w:rPr>
          <w:rFonts w:ascii="Arial" w:hAnsi="Arial" w:cs="Arial"/>
          <w:sz w:val="22"/>
          <w:szCs w:val="22"/>
        </w:rPr>
        <w:t>In sede di salvaguardia degli equilibri i proventi di alienazione potranno essere utilizzati solo per ripristinare gli equilibri di parte capitale.</w:t>
      </w:r>
    </w:p>
    <w:p w:rsidR="004F39DA" w:rsidRPr="00632A65" w:rsidRDefault="004F39DA" w:rsidP="003D76D9">
      <w:pPr>
        <w:jc w:val="both"/>
        <w:rPr>
          <w:rFonts w:ascii="Arial" w:hAnsi="Arial" w:cs="Arial"/>
          <w:b/>
          <w:sz w:val="22"/>
          <w:szCs w:val="22"/>
        </w:rPr>
      </w:pPr>
    </w:p>
    <w:p w:rsidR="004F39DA" w:rsidRPr="00632A65" w:rsidRDefault="004F39DA" w:rsidP="003D76D9">
      <w:pPr>
        <w:jc w:val="both"/>
        <w:rPr>
          <w:rFonts w:ascii="Arial" w:hAnsi="Arial" w:cs="Arial"/>
          <w:b/>
          <w:sz w:val="22"/>
          <w:szCs w:val="22"/>
        </w:rPr>
      </w:pPr>
      <w:r w:rsidRPr="00632A65">
        <w:rPr>
          <w:rFonts w:ascii="Arial" w:hAnsi="Arial" w:cs="Arial"/>
          <w:b/>
          <w:sz w:val="22"/>
          <w:szCs w:val="22"/>
        </w:rPr>
        <w:t>f) Obbligo di pubblicazione</w:t>
      </w:r>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L’ente deve rispettare l’obbligo di pubblicazione stabilito dagli artt. 29 e 33 del </w:t>
      </w:r>
      <w:r>
        <w:rPr>
          <w:rFonts w:ascii="Arial" w:hAnsi="Arial" w:cs="Arial"/>
          <w:sz w:val="22"/>
          <w:szCs w:val="22"/>
        </w:rPr>
        <w:t>D</w:t>
      </w:r>
      <w:r w:rsidRPr="00632A65">
        <w:rPr>
          <w:rFonts w:ascii="Arial" w:hAnsi="Arial" w:cs="Arial"/>
          <w:sz w:val="22"/>
          <w:szCs w:val="22"/>
        </w:rPr>
        <w:t>.</w:t>
      </w:r>
      <w:r>
        <w:rPr>
          <w:rFonts w:ascii="Arial" w:hAnsi="Arial" w:cs="Arial"/>
          <w:sz w:val="22"/>
          <w:szCs w:val="22"/>
        </w:rPr>
        <w:t>L</w:t>
      </w:r>
      <w:r w:rsidRPr="00632A65">
        <w:rPr>
          <w:rFonts w:ascii="Arial" w:hAnsi="Arial" w:cs="Arial"/>
          <w:sz w:val="22"/>
          <w:szCs w:val="22"/>
        </w:rPr>
        <w:t>gs. 14/3/2013 n.33:</w:t>
      </w:r>
    </w:p>
    <w:p w:rsidR="004F39DA" w:rsidRPr="00632A65" w:rsidRDefault="004F39DA" w:rsidP="003D76D9">
      <w:pPr>
        <w:jc w:val="both"/>
        <w:rPr>
          <w:rFonts w:ascii="Arial" w:hAnsi="Arial" w:cs="Arial"/>
          <w:sz w:val="22"/>
          <w:szCs w:val="22"/>
        </w:rPr>
      </w:pPr>
      <w:r w:rsidRPr="00632A65">
        <w:rPr>
          <w:rFonts w:ascii="Arial" w:hAnsi="Arial" w:cs="Arial"/>
          <w:sz w:val="22"/>
          <w:szCs w:val="22"/>
        </w:rPr>
        <w:t>- de</w:t>
      </w:r>
      <w:r>
        <w:rPr>
          <w:rFonts w:ascii="Arial" w:hAnsi="Arial" w:cs="Arial"/>
          <w:sz w:val="22"/>
          <w:szCs w:val="22"/>
        </w:rPr>
        <w:t>l bilancio e documenti allegati</w:t>
      </w:r>
      <w:r w:rsidRPr="00632A65">
        <w:rPr>
          <w:rFonts w:ascii="Arial" w:hAnsi="Arial" w:cs="Arial"/>
          <w:sz w:val="22"/>
          <w:szCs w:val="22"/>
        </w:rPr>
        <w:t xml:space="preserve"> nonché</w:t>
      </w:r>
      <w:r>
        <w:rPr>
          <w:rFonts w:ascii="Arial" w:hAnsi="Arial" w:cs="Arial"/>
          <w:sz w:val="22"/>
          <w:szCs w:val="22"/>
        </w:rPr>
        <w:t xml:space="preserve"> </w:t>
      </w:r>
      <w:r w:rsidRPr="00632A65">
        <w:rPr>
          <w:rFonts w:ascii="Arial" w:hAnsi="Arial" w:cs="Arial"/>
          <w:sz w:val="22"/>
          <w:szCs w:val="22"/>
        </w:rPr>
        <w:t>in forma sintetica, aggregata e semplificata</w:t>
      </w:r>
      <w:r>
        <w:rPr>
          <w:rFonts w:ascii="Arial" w:hAnsi="Arial" w:cs="Arial"/>
          <w:sz w:val="22"/>
          <w:szCs w:val="22"/>
        </w:rPr>
        <w:t xml:space="preserve">, </w:t>
      </w:r>
      <w:r w:rsidRPr="00632A65">
        <w:rPr>
          <w:rFonts w:ascii="Arial" w:hAnsi="Arial" w:cs="Arial"/>
          <w:sz w:val="22"/>
          <w:szCs w:val="22"/>
        </w:rPr>
        <w:t>entro 30 giorni dall’adozione</w:t>
      </w:r>
      <w:r>
        <w:rPr>
          <w:rFonts w:ascii="Arial" w:hAnsi="Arial" w:cs="Arial"/>
          <w:sz w:val="22"/>
          <w:szCs w:val="22"/>
        </w:rPr>
        <w:t>;</w:t>
      </w:r>
    </w:p>
    <w:p w:rsidR="004F39DA" w:rsidRPr="00632A65" w:rsidRDefault="004F39DA" w:rsidP="003D76D9">
      <w:pPr>
        <w:jc w:val="both"/>
        <w:rPr>
          <w:rFonts w:ascii="Arial" w:hAnsi="Arial" w:cs="Arial"/>
          <w:sz w:val="22"/>
          <w:szCs w:val="22"/>
        </w:rPr>
      </w:pPr>
      <w:r w:rsidRPr="00632A65">
        <w:rPr>
          <w:rFonts w:ascii="Arial" w:hAnsi="Arial" w:cs="Arial"/>
          <w:sz w:val="22"/>
          <w:szCs w:val="22"/>
        </w:rPr>
        <w:t>-dei dati relativi alle entrate e alla spesa del bilancio di previsione in formato tabellare aperto secondo lo schema definito con Dpcm 22/9/2014;</w:t>
      </w:r>
    </w:p>
    <w:p w:rsidR="004F39DA" w:rsidRPr="00632A65" w:rsidRDefault="004F39DA" w:rsidP="003D76D9">
      <w:pPr>
        <w:jc w:val="both"/>
        <w:rPr>
          <w:rFonts w:ascii="Arial" w:hAnsi="Arial" w:cs="Arial"/>
          <w:sz w:val="22"/>
          <w:szCs w:val="22"/>
        </w:rPr>
      </w:pPr>
      <w:r w:rsidRPr="00632A65">
        <w:rPr>
          <w:rFonts w:ascii="Arial" w:hAnsi="Arial" w:cs="Arial"/>
          <w:sz w:val="22"/>
          <w:szCs w:val="22"/>
        </w:rPr>
        <w:t>-degli indicatori dei propri tempi di pagamento relativi agli acquisti di beni, servizi e forniture con cadenza trimestrale secondo lo schema tipo definito con Dpcm 22/9/2014.</w:t>
      </w:r>
    </w:p>
    <w:p w:rsidR="004F39DA" w:rsidRPr="00632A65" w:rsidRDefault="004F39DA" w:rsidP="003D76D9">
      <w:pPr>
        <w:jc w:val="both"/>
        <w:rPr>
          <w:rFonts w:ascii="Arial" w:hAnsi="Arial" w:cs="Arial"/>
          <w:sz w:val="22"/>
          <w:szCs w:val="22"/>
        </w:rPr>
      </w:pPr>
    </w:p>
    <w:p w:rsidR="004F39DA" w:rsidRPr="00C5347C" w:rsidRDefault="004F39DA" w:rsidP="00C5347C">
      <w:pPr>
        <w:pStyle w:val="ListParagraph"/>
        <w:numPr>
          <w:ilvl w:val="0"/>
          <w:numId w:val="17"/>
        </w:numPr>
        <w:jc w:val="both"/>
        <w:rPr>
          <w:rFonts w:ascii="Arial" w:hAnsi="Arial" w:cs="Arial"/>
          <w:b/>
          <w:sz w:val="22"/>
          <w:szCs w:val="22"/>
        </w:rPr>
      </w:pPr>
      <w:r w:rsidRPr="00C5347C">
        <w:rPr>
          <w:rFonts w:ascii="Arial" w:hAnsi="Arial" w:cs="Arial"/>
          <w:b/>
          <w:sz w:val="22"/>
          <w:szCs w:val="22"/>
        </w:rPr>
        <w:t>Adempimenti per il completamento dell’armonizzazione contabile</w:t>
      </w:r>
    </w:p>
    <w:p w:rsidR="004F39DA" w:rsidRPr="00632A65" w:rsidRDefault="004F39DA" w:rsidP="003D76D9">
      <w:pPr>
        <w:ind w:left="360"/>
        <w:jc w:val="both"/>
        <w:rPr>
          <w:rFonts w:ascii="Arial" w:hAnsi="Arial" w:cs="Arial"/>
          <w:sz w:val="22"/>
          <w:szCs w:val="22"/>
        </w:rPr>
      </w:pPr>
    </w:p>
    <w:p w:rsidR="004F39DA" w:rsidRPr="00632A65" w:rsidRDefault="004F39DA" w:rsidP="00A038BA">
      <w:pPr>
        <w:jc w:val="both"/>
        <w:rPr>
          <w:rFonts w:ascii="Arial" w:hAnsi="Arial" w:cs="Arial"/>
          <w:sz w:val="22"/>
          <w:szCs w:val="22"/>
        </w:rPr>
      </w:pPr>
      <w:r>
        <w:rPr>
          <w:rFonts w:ascii="Arial" w:hAnsi="Arial" w:cs="Arial"/>
          <w:sz w:val="22"/>
          <w:szCs w:val="22"/>
        </w:rPr>
        <w:t xml:space="preserve">L’Ente, con deliberazione CC n. 71 del 21/12/2015, ha disposto </w:t>
      </w:r>
      <w:r w:rsidRPr="00632A65">
        <w:rPr>
          <w:rFonts w:ascii="Arial" w:hAnsi="Arial" w:cs="Arial"/>
          <w:sz w:val="22"/>
          <w:szCs w:val="22"/>
        </w:rPr>
        <w:t>al</w:t>
      </w:r>
      <w:r>
        <w:rPr>
          <w:rFonts w:ascii="Arial" w:hAnsi="Arial" w:cs="Arial"/>
          <w:sz w:val="22"/>
          <w:szCs w:val="22"/>
        </w:rPr>
        <w:t xml:space="preserve">l’anno 2017 il rinvio dell’adozione del </w:t>
      </w:r>
      <w:r w:rsidRPr="00632A65">
        <w:rPr>
          <w:rFonts w:ascii="Arial" w:hAnsi="Arial" w:cs="Arial"/>
          <w:sz w:val="22"/>
          <w:szCs w:val="22"/>
        </w:rPr>
        <w:t>sistema di contabilità economico patrimoniale</w:t>
      </w:r>
      <w:r>
        <w:rPr>
          <w:rFonts w:ascii="Arial" w:hAnsi="Arial" w:cs="Arial"/>
          <w:sz w:val="22"/>
          <w:szCs w:val="22"/>
        </w:rPr>
        <w:t xml:space="preserve"> ed il bilancio consolidato.</w:t>
      </w:r>
    </w:p>
    <w:p w:rsidR="004F39DA" w:rsidRPr="00632A65" w:rsidRDefault="004F39DA" w:rsidP="003D76D9">
      <w:pPr>
        <w:ind w:left="360"/>
        <w:jc w:val="both"/>
        <w:rPr>
          <w:rFonts w:ascii="Arial" w:hAnsi="Arial" w:cs="Arial"/>
          <w:sz w:val="22"/>
          <w:szCs w:val="22"/>
        </w:rPr>
      </w:pPr>
    </w:p>
    <w:p w:rsidR="004F39DA" w:rsidRPr="00632A65" w:rsidRDefault="004F39DA" w:rsidP="003D76D9">
      <w:pPr>
        <w:pStyle w:val="tabella"/>
        <w:rPr>
          <w:i w:val="0"/>
          <w:sz w:val="22"/>
          <w:szCs w:val="22"/>
          <w:u w:val="none"/>
        </w:rPr>
      </w:pPr>
      <w:r w:rsidRPr="00632A65">
        <w:rPr>
          <w:b/>
          <w:i w:val="0"/>
        </w:rPr>
        <w:br w:type="page"/>
      </w:r>
    </w:p>
    <w:p w:rsidR="004F39DA" w:rsidRPr="00632A65" w:rsidRDefault="004F39DA" w:rsidP="003D76D9">
      <w:pPr>
        <w:pStyle w:val="tabella"/>
        <w:rPr>
          <w:i w:val="0"/>
          <w:sz w:val="22"/>
          <w:szCs w:val="22"/>
          <w:u w:val="none"/>
        </w:rPr>
      </w:pPr>
    </w:p>
    <w:p w:rsidR="004F39DA" w:rsidRPr="00632A65" w:rsidRDefault="004F39DA" w:rsidP="003D76D9">
      <w:pPr>
        <w:pStyle w:val="Heading1"/>
        <w:shd w:val="clear" w:color="auto" w:fill="B6DDE8"/>
      </w:pPr>
      <w:bookmarkStart w:id="52" w:name="_Toc408988077"/>
      <w:bookmarkStart w:id="53" w:name="_Toc314835203"/>
      <w:r w:rsidRPr="00632A65">
        <w:t>CONCLUSIONI</w:t>
      </w:r>
      <w:bookmarkEnd w:id="52"/>
      <w:bookmarkEnd w:id="53"/>
    </w:p>
    <w:p w:rsidR="004F39DA" w:rsidRPr="00632A65" w:rsidRDefault="004F39DA" w:rsidP="003D76D9">
      <w:pPr>
        <w:jc w:val="both"/>
        <w:rPr>
          <w:rFonts w:ascii="Arial" w:hAnsi="Arial" w:cs="Arial"/>
          <w:sz w:val="22"/>
          <w:szCs w:val="22"/>
        </w:rPr>
      </w:pPr>
      <w:r w:rsidRPr="00632A65">
        <w:rPr>
          <w:rFonts w:ascii="Arial" w:hAnsi="Arial" w:cs="Arial"/>
          <w:sz w:val="22"/>
          <w:szCs w:val="22"/>
        </w:rPr>
        <w:t xml:space="preserve">In relazione alle motivazioni specificate nel presente parere, richiamato l’articolo 239 del </w:t>
      </w:r>
      <w:r>
        <w:rPr>
          <w:rFonts w:ascii="Arial" w:hAnsi="Arial" w:cs="Arial"/>
          <w:sz w:val="20"/>
          <w:szCs w:val="20"/>
        </w:rPr>
        <w:t>TUEL</w:t>
      </w:r>
      <w:r w:rsidRPr="00632A65">
        <w:rPr>
          <w:rFonts w:ascii="Arial" w:hAnsi="Arial" w:cs="Arial"/>
          <w:sz w:val="22"/>
          <w:szCs w:val="22"/>
        </w:rPr>
        <w:t xml:space="preserve"> e tenuto conto:</w:t>
      </w:r>
    </w:p>
    <w:p w:rsidR="004F39DA" w:rsidRPr="00632A65" w:rsidRDefault="004F39DA" w:rsidP="00E11CA8">
      <w:pPr>
        <w:numPr>
          <w:ilvl w:val="0"/>
          <w:numId w:val="7"/>
        </w:numPr>
        <w:tabs>
          <w:tab w:val="left" w:pos="360"/>
        </w:tabs>
        <w:spacing w:before="120"/>
        <w:ind w:left="357" w:hanging="357"/>
        <w:jc w:val="both"/>
        <w:rPr>
          <w:rFonts w:ascii="Arial" w:hAnsi="Arial" w:cs="Arial"/>
          <w:sz w:val="22"/>
          <w:szCs w:val="22"/>
        </w:rPr>
      </w:pPr>
      <w:r w:rsidRPr="00632A65">
        <w:rPr>
          <w:rFonts w:ascii="Arial" w:hAnsi="Arial" w:cs="Arial"/>
          <w:sz w:val="22"/>
          <w:szCs w:val="22"/>
        </w:rPr>
        <w:t>del parere espresso sul DUP e sulla Nota di aggiornamento</w:t>
      </w:r>
      <w:r>
        <w:rPr>
          <w:rFonts w:ascii="Arial" w:hAnsi="Arial" w:cs="Arial"/>
          <w:sz w:val="22"/>
          <w:szCs w:val="22"/>
        </w:rPr>
        <w:t>;</w:t>
      </w:r>
    </w:p>
    <w:p w:rsidR="004F39DA" w:rsidRPr="00632A65" w:rsidRDefault="004F39DA" w:rsidP="00E11CA8">
      <w:pPr>
        <w:numPr>
          <w:ilvl w:val="0"/>
          <w:numId w:val="7"/>
        </w:numPr>
        <w:tabs>
          <w:tab w:val="left" w:pos="360"/>
        </w:tabs>
        <w:spacing w:before="120"/>
        <w:ind w:left="357" w:hanging="357"/>
        <w:jc w:val="both"/>
        <w:rPr>
          <w:rFonts w:ascii="Arial" w:hAnsi="Arial" w:cs="Arial"/>
          <w:sz w:val="22"/>
          <w:szCs w:val="22"/>
        </w:rPr>
      </w:pPr>
      <w:r w:rsidRPr="00632A65">
        <w:rPr>
          <w:rFonts w:ascii="Arial" w:hAnsi="Arial" w:cs="Arial"/>
          <w:sz w:val="22"/>
          <w:szCs w:val="22"/>
        </w:rPr>
        <w:t>del parere espresso dal responsabile del servizio finanziario</w:t>
      </w:r>
      <w:r>
        <w:rPr>
          <w:rFonts w:ascii="Arial" w:hAnsi="Arial" w:cs="Arial"/>
          <w:sz w:val="22"/>
          <w:szCs w:val="22"/>
        </w:rPr>
        <w:t>;</w:t>
      </w:r>
    </w:p>
    <w:p w:rsidR="004F39DA" w:rsidRPr="00632A65" w:rsidRDefault="004F39DA" w:rsidP="00E11CA8">
      <w:pPr>
        <w:numPr>
          <w:ilvl w:val="0"/>
          <w:numId w:val="7"/>
        </w:numPr>
        <w:tabs>
          <w:tab w:val="left" w:pos="360"/>
        </w:tabs>
        <w:spacing w:before="120"/>
        <w:ind w:left="357" w:hanging="357"/>
        <w:jc w:val="both"/>
        <w:rPr>
          <w:rFonts w:ascii="Arial" w:hAnsi="Arial" w:cs="Arial"/>
          <w:sz w:val="22"/>
          <w:szCs w:val="22"/>
        </w:rPr>
      </w:pPr>
      <w:r w:rsidRPr="00632A65">
        <w:rPr>
          <w:rFonts w:ascii="Arial" w:hAnsi="Arial" w:cs="Arial"/>
          <w:sz w:val="22"/>
          <w:szCs w:val="22"/>
        </w:rPr>
        <w:t>delle variazioni rispetto all’anno precedente</w:t>
      </w:r>
      <w:r>
        <w:rPr>
          <w:rFonts w:ascii="Arial" w:hAnsi="Arial" w:cs="Arial"/>
          <w:sz w:val="22"/>
          <w:szCs w:val="22"/>
        </w:rPr>
        <w:t>.</w:t>
      </w:r>
    </w:p>
    <w:p w:rsidR="004F39DA" w:rsidRPr="00632A65" w:rsidRDefault="004F39DA" w:rsidP="003D76D9">
      <w:pPr>
        <w:pStyle w:val="BodyText21"/>
        <w:spacing w:before="240"/>
        <w:rPr>
          <w:rFonts w:cs="Arial"/>
          <w:b w:val="0"/>
          <w:i w:val="0"/>
          <w:sz w:val="22"/>
          <w:szCs w:val="22"/>
        </w:rPr>
      </w:pPr>
      <w:r>
        <w:rPr>
          <w:rFonts w:cs="Arial"/>
          <w:b w:val="0"/>
          <w:i w:val="0"/>
          <w:sz w:val="22"/>
          <w:szCs w:val="22"/>
        </w:rPr>
        <w:t>Il Revisore dei Conti</w:t>
      </w:r>
      <w:r w:rsidRPr="00632A65">
        <w:rPr>
          <w:rFonts w:cs="Arial"/>
          <w:b w:val="0"/>
          <w:i w:val="0"/>
          <w:sz w:val="22"/>
          <w:szCs w:val="22"/>
        </w:rPr>
        <w:t>:</w:t>
      </w:r>
    </w:p>
    <w:p w:rsidR="004F39DA" w:rsidRPr="00632A65" w:rsidRDefault="004F39DA" w:rsidP="00E11CA8">
      <w:pPr>
        <w:numPr>
          <w:ilvl w:val="0"/>
          <w:numId w:val="8"/>
        </w:numPr>
        <w:jc w:val="both"/>
        <w:rPr>
          <w:rFonts w:ascii="Arial" w:hAnsi="Arial" w:cs="Arial"/>
          <w:i/>
          <w:sz w:val="22"/>
          <w:szCs w:val="22"/>
        </w:rPr>
      </w:pPr>
      <w:r w:rsidRPr="00632A65">
        <w:rPr>
          <w:rFonts w:ascii="Arial" w:hAnsi="Arial" w:cs="Arial"/>
          <w:sz w:val="22"/>
          <w:szCs w:val="22"/>
        </w:rPr>
        <w:t xml:space="preserve">ha verificato che il bilancio è stato redatto nell’osservanza delle norme di Legge, dello statuto dell’ente, del regolamento di contabilità, dei  principi previsti dall’articolo 162 del </w:t>
      </w:r>
      <w:r>
        <w:rPr>
          <w:rFonts w:ascii="Arial" w:hAnsi="Arial" w:cs="Arial"/>
          <w:sz w:val="22"/>
          <w:szCs w:val="22"/>
        </w:rPr>
        <w:t>TUEL</w:t>
      </w:r>
      <w:r w:rsidRPr="00632A65">
        <w:rPr>
          <w:rFonts w:ascii="Arial" w:hAnsi="Arial" w:cs="Arial"/>
          <w:sz w:val="22"/>
          <w:szCs w:val="22"/>
        </w:rPr>
        <w:t xml:space="preserve"> e dalle norme del D.Lgs.n.118/2001 e dai principi contabili applicati n.4/1 e 4/2 allegati al predetto decreto legislativo;</w:t>
      </w:r>
    </w:p>
    <w:p w:rsidR="004F39DA" w:rsidRPr="00632A65" w:rsidRDefault="004F39DA" w:rsidP="00E11CA8">
      <w:pPr>
        <w:pStyle w:val="BodyText21"/>
        <w:numPr>
          <w:ilvl w:val="0"/>
          <w:numId w:val="8"/>
        </w:numPr>
        <w:spacing w:before="120"/>
        <w:rPr>
          <w:rFonts w:cs="Arial"/>
          <w:b w:val="0"/>
          <w:i w:val="0"/>
          <w:sz w:val="22"/>
          <w:szCs w:val="22"/>
        </w:rPr>
      </w:pPr>
      <w:r w:rsidRPr="00632A65">
        <w:rPr>
          <w:rFonts w:cs="Arial"/>
          <w:b w:val="0"/>
          <w:i w:val="0"/>
          <w:sz w:val="22"/>
          <w:szCs w:val="22"/>
        </w:rPr>
        <w:t>ha rilevato la coerenza interna, la congruità e l’attendibilità contabile delle previsioni di bilancio;</w:t>
      </w:r>
    </w:p>
    <w:p w:rsidR="004F39DA" w:rsidRPr="00632A65" w:rsidRDefault="004F39DA" w:rsidP="00E11CA8">
      <w:pPr>
        <w:pStyle w:val="BodyText21"/>
        <w:numPr>
          <w:ilvl w:val="0"/>
          <w:numId w:val="8"/>
        </w:numPr>
        <w:spacing w:before="120"/>
        <w:rPr>
          <w:rFonts w:cs="Arial"/>
          <w:b w:val="0"/>
          <w:i w:val="0"/>
          <w:sz w:val="22"/>
          <w:szCs w:val="22"/>
        </w:rPr>
      </w:pPr>
      <w:r w:rsidRPr="00632A65">
        <w:rPr>
          <w:rFonts w:cs="Arial"/>
          <w:b w:val="0"/>
          <w:i w:val="0"/>
          <w:sz w:val="22"/>
          <w:szCs w:val="22"/>
        </w:rPr>
        <w:t>ha rilevato la coerenza esterna ed in particolare la possibilità con le previsioni proposte di rispettare i limiti disposti dalle norme relative al concorso degli enti locali alla realizzazione degli obiettivi di finanza pubblica</w:t>
      </w:r>
      <w:r>
        <w:rPr>
          <w:rFonts w:cs="Arial"/>
          <w:b w:val="0"/>
          <w:i w:val="0"/>
          <w:sz w:val="22"/>
          <w:szCs w:val="22"/>
        </w:rPr>
        <w:t>.</w:t>
      </w:r>
    </w:p>
    <w:p w:rsidR="004F39DA" w:rsidRPr="00632A65" w:rsidRDefault="004F39DA" w:rsidP="003D76D9">
      <w:pPr>
        <w:pStyle w:val="BodyText21"/>
        <w:spacing w:before="120"/>
        <w:rPr>
          <w:rFonts w:cs="Arial"/>
          <w:b w:val="0"/>
          <w:i w:val="0"/>
          <w:sz w:val="22"/>
          <w:szCs w:val="22"/>
        </w:rPr>
      </w:pPr>
      <w:r w:rsidRPr="00632A65">
        <w:rPr>
          <w:rFonts w:cs="Arial"/>
          <w:b w:val="0"/>
          <w:i w:val="0"/>
          <w:sz w:val="22"/>
          <w:szCs w:val="22"/>
        </w:rPr>
        <w:t>ed esprime, pertanto, parere favorevole sulla proposta di bilancio di previsione 2016-2018 e sui documenti allegati.</w:t>
      </w:r>
    </w:p>
    <w:p w:rsidR="004F39DA" w:rsidRDefault="004F39DA" w:rsidP="003D76D9">
      <w:pPr>
        <w:tabs>
          <w:tab w:val="left" w:pos="5954"/>
        </w:tabs>
        <w:rPr>
          <w:rFonts w:ascii="Arial" w:hAnsi="Arial" w:cs="Arial"/>
          <w:b/>
          <w:sz w:val="20"/>
        </w:rPr>
      </w:pPr>
    </w:p>
    <w:p w:rsidR="004F39DA" w:rsidRPr="00632A65" w:rsidRDefault="004F39DA" w:rsidP="003D76D9">
      <w:pPr>
        <w:tabs>
          <w:tab w:val="left" w:pos="5954"/>
        </w:tabs>
        <w:rPr>
          <w:rFonts w:ascii="Arial" w:hAnsi="Arial" w:cs="Arial"/>
          <w:b/>
          <w:sz w:val="20"/>
        </w:rPr>
      </w:pPr>
    </w:p>
    <w:p w:rsidR="004F39DA" w:rsidRPr="00632A65" w:rsidRDefault="004F39DA" w:rsidP="00A96227">
      <w:pPr>
        <w:tabs>
          <w:tab w:val="left" w:pos="5954"/>
        </w:tabs>
        <w:jc w:val="center"/>
        <w:rPr>
          <w:rFonts w:ascii="Arial" w:hAnsi="Arial" w:cs="Arial"/>
          <w:b/>
        </w:rPr>
      </w:pPr>
      <w:r>
        <w:rPr>
          <w:rFonts w:ascii="Arial" w:hAnsi="Arial" w:cs="Arial"/>
          <w:b/>
        </w:rPr>
        <w:t>IL REVISORE DEI CONTI</w:t>
      </w:r>
    </w:p>
    <w:p w:rsidR="004F39DA" w:rsidRPr="00A96227" w:rsidRDefault="004F39DA" w:rsidP="00A96227">
      <w:pPr>
        <w:pStyle w:val="Title"/>
        <w:rPr>
          <w:b w:val="0"/>
          <w:i w:val="0"/>
          <w:sz w:val="24"/>
        </w:rPr>
      </w:pPr>
      <w:r w:rsidRPr="00A96227">
        <w:rPr>
          <w:b w:val="0"/>
          <w:i w:val="0"/>
          <w:sz w:val="24"/>
        </w:rPr>
        <w:t>(Nicolò Saba)</w:t>
      </w:r>
    </w:p>
    <w:p w:rsidR="004F39DA" w:rsidRPr="00632A65" w:rsidRDefault="004F39DA" w:rsidP="003D76D9">
      <w:pPr>
        <w:pStyle w:val="Title"/>
        <w:rPr>
          <w:i w:val="0"/>
          <w:sz w:val="40"/>
        </w:rPr>
      </w:pPr>
    </w:p>
    <w:p w:rsidR="004F39DA" w:rsidRPr="00632A65" w:rsidRDefault="004F39DA" w:rsidP="003D76D9">
      <w:pPr>
        <w:pStyle w:val="Title"/>
        <w:jc w:val="left"/>
        <w:rPr>
          <w:b w:val="0"/>
          <w:i w:val="0"/>
          <w:color w:val="00B0F0"/>
          <w:sz w:val="28"/>
          <w:szCs w:val="28"/>
        </w:rPr>
      </w:pPr>
    </w:p>
    <w:sectPr w:rsidR="004F39DA" w:rsidRPr="00632A65" w:rsidSect="003D76D9">
      <w:headerReference w:type="default" r:id="rId50"/>
      <w:footerReference w:type="even" r:id="rId51"/>
      <w:footerReference w:type="default" r:id="rId52"/>
      <w:pgSz w:w="11906" w:h="16838" w:code="9"/>
      <w:pgMar w:top="720" w:right="1274" w:bottom="851" w:left="1134"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9DA" w:rsidRDefault="004F39DA">
      <w:r>
        <w:separator/>
      </w:r>
    </w:p>
  </w:endnote>
  <w:endnote w:type="continuationSeparator" w:id="0">
    <w:p w:rsidR="004F39DA" w:rsidRDefault="004F3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ItcCenturyLight">
    <w:altName w:val="Cambria"/>
    <w:panose1 w:val="00000000000000000000"/>
    <w:charset w:val="00"/>
    <w:family w:val="auto"/>
    <w:notTrueType/>
    <w:pitch w:val="default"/>
    <w:sig w:usb0="00000003" w:usb1="00000000" w:usb2="00000000" w:usb3="00000000" w:csb0="00000001" w:csb1="00000000"/>
  </w:font>
  <w:font w:name="UniversExBlkExt">
    <w:panose1 w:val="00000000000000000000"/>
    <w:charset w:val="00"/>
    <w:family w:val="auto"/>
    <w:notTrueType/>
    <w:pitch w:val="default"/>
    <w:sig w:usb0="00000003" w:usb1="00000000" w:usb2="00000000" w:usb3="00000000" w:csb0="00000001" w:csb1="00000000"/>
  </w:font>
  <w:font w:name="Futur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Albany A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DA" w:rsidRDefault="004F3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39DA" w:rsidRDefault="004F39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DA" w:rsidRPr="00FD43CE" w:rsidRDefault="004F39DA" w:rsidP="00FD43CE">
    <w:pPr>
      <w:pBdr>
        <w:top w:val="single" w:sz="4" w:space="1" w:color="auto"/>
      </w:pBdr>
      <w:tabs>
        <w:tab w:val="left" w:pos="0"/>
        <w:tab w:val="right" w:pos="9306"/>
      </w:tabs>
      <w:rPr>
        <w:rFonts w:ascii="Arial" w:hAnsi="Arial" w:cs="Arial"/>
        <w:sz w:val="18"/>
        <w:szCs w:val="20"/>
      </w:rPr>
    </w:pPr>
    <w:r>
      <w:rPr>
        <w:rFonts w:ascii="Arial" w:hAnsi="Arial" w:cs="Arial"/>
        <w:sz w:val="18"/>
        <w:szCs w:val="20"/>
      </w:rPr>
      <w:tab/>
    </w:r>
    <w:r w:rsidRPr="00FD43CE">
      <w:rPr>
        <w:rFonts w:ascii="Arial" w:hAnsi="Arial" w:cs="Arial"/>
        <w:sz w:val="18"/>
        <w:szCs w:val="20"/>
      </w:rPr>
      <w:t xml:space="preserve">Pagina </w:t>
    </w:r>
    <w:r w:rsidRPr="00FD43CE">
      <w:rPr>
        <w:rFonts w:ascii="Arial" w:hAnsi="Arial" w:cs="Arial"/>
        <w:sz w:val="18"/>
        <w:szCs w:val="20"/>
      </w:rPr>
      <w:fldChar w:fldCharType="begin"/>
    </w:r>
    <w:r w:rsidRPr="00FD43CE">
      <w:rPr>
        <w:rFonts w:ascii="Arial" w:hAnsi="Arial" w:cs="Arial"/>
        <w:sz w:val="18"/>
        <w:szCs w:val="20"/>
      </w:rPr>
      <w:instrText xml:space="preserve"> PAGE </w:instrText>
    </w:r>
    <w:r w:rsidRPr="00FD43CE">
      <w:rPr>
        <w:rFonts w:ascii="Arial" w:hAnsi="Arial" w:cs="Arial"/>
        <w:sz w:val="18"/>
        <w:szCs w:val="20"/>
      </w:rPr>
      <w:fldChar w:fldCharType="separate"/>
    </w:r>
    <w:r>
      <w:rPr>
        <w:rFonts w:ascii="Arial" w:hAnsi="Arial" w:cs="Arial"/>
        <w:noProof/>
        <w:sz w:val="18"/>
        <w:szCs w:val="20"/>
      </w:rPr>
      <w:t>14</w:t>
    </w:r>
    <w:r w:rsidRPr="00FD43CE">
      <w:rPr>
        <w:rFonts w:ascii="Arial" w:hAnsi="Arial" w:cs="Arial"/>
        <w:sz w:val="18"/>
        <w:szCs w:val="20"/>
      </w:rPr>
      <w:fldChar w:fldCharType="end"/>
    </w:r>
    <w:r w:rsidRPr="00FD43CE">
      <w:rPr>
        <w:rFonts w:ascii="Arial" w:hAnsi="Arial" w:cs="Arial"/>
        <w:sz w:val="18"/>
        <w:szCs w:val="20"/>
      </w:rPr>
      <w:t xml:space="preserve"> di </w:t>
    </w:r>
    <w:r w:rsidRPr="00FD43CE">
      <w:rPr>
        <w:rFonts w:ascii="Arial" w:hAnsi="Arial" w:cs="Arial"/>
        <w:sz w:val="18"/>
        <w:szCs w:val="20"/>
      </w:rPr>
      <w:fldChar w:fldCharType="begin"/>
    </w:r>
    <w:r w:rsidRPr="00FD43CE">
      <w:rPr>
        <w:rFonts w:ascii="Arial" w:hAnsi="Arial" w:cs="Arial"/>
        <w:sz w:val="18"/>
        <w:szCs w:val="20"/>
      </w:rPr>
      <w:instrText xml:space="preserve"> NUMPAGES  </w:instrText>
    </w:r>
    <w:r w:rsidRPr="00FD43CE">
      <w:rPr>
        <w:rFonts w:ascii="Arial" w:hAnsi="Arial" w:cs="Arial"/>
        <w:sz w:val="18"/>
        <w:szCs w:val="20"/>
      </w:rPr>
      <w:fldChar w:fldCharType="separate"/>
    </w:r>
    <w:r>
      <w:rPr>
        <w:rFonts w:ascii="Arial" w:hAnsi="Arial" w:cs="Arial"/>
        <w:noProof/>
        <w:sz w:val="18"/>
        <w:szCs w:val="20"/>
      </w:rPr>
      <w:t>36</w:t>
    </w:r>
    <w:r w:rsidRPr="00FD43CE">
      <w:rPr>
        <w:rFonts w:ascii="Arial" w:hAnsi="Arial" w:cs="Arial"/>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9DA" w:rsidRDefault="004F39DA">
      <w:r>
        <w:separator/>
      </w:r>
    </w:p>
  </w:footnote>
  <w:footnote w:type="continuationSeparator" w:id="0">
    <w:p w:rsidR="004F39DA" w:rsidRDefault="004F3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DA" w:rsidRPr="00FD43CE" w:rsidRDefault="004F39DA">
    <w:pPr>
      <w:pStyle w:val="Header"/>
      <w:jc w:val="right"/>
      <w:rPr>
        <w:rFonts w:cs="Arial"/>
        <w:sz w:val="20"/>
      </w:rPr>
    </w:pPr>
    <w:r w:rsidRPr="00FD43CE">
      <w:rPr>
        <w:rFonts w:cs="Arial"/>
        <w:sz w:val="20"/>
      </w:rPr>
      <w:t xml:space="preserve">Comune di </w:t>
    </w:r>
    <w:r>
      <w:rPr>
        <w:rFonts w:cs="Arial"/>
        <w:sz w:val="20"/>
      </w:rPr>
      <w:t>Perfugas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3CB9"/>
    <w:multiLevelType w:val="hybridMultilevel"/>
    <w:tmpl w:val="522A6A5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BDA68A6"/>
    <w:multiLevelType w:val="hybridMultilevel"/>
    <w:tmpl w:val="2A80E1AE"/>
    <w:lvl w:ilvl="0" w:tplc="DD50F0EC">
      <w:start w:val="1"/>
      <w:numFmt w:val="bullet"/>
      <w:lvlText w:val=""/>
      <w:lvlJc w:val="left"/>
      <w:pPr>
        <w:tabs>
          <w:tab w:val="num" w:pos="786"/>
        </w:tabs>
        <w:ind w:left="786" w:hanging="360"/>
      </w:pPr>
      <w:rPr>
        <w:rFonts w:ascii="Wingdings" w:hAnsi="Wingdings" w:hint="default"/>
      </w:rPr>
    </w:lvl>
    <w:lvl w:ilvl="1" w:tplc="31D645D6">
      <w:start w:val="1"/>
      <w:numFmt w:val="decimal"/>
      <w:lvlText w:val="%2."/>
      <w:lvlJc w:val="left"/>
      <w:pPr>
        <w:tabs>
          <w:tab w:val="num" w:pos="1440"/>
        </w:tabs>
        <w:ind w:left="1440" w:hanging="360"/>
      </w:pPr>
      <w:rPr>
        <w:rFonts w:cs="Times New Roman"/>
      </w:rPr>
    </w:lvl>
    <w:lvl w:ilvl="2" w:tplc="7EF84F82">
      <w:start w:val="1"/>
      <w:numFmt w:val="decimal"/>
      <w:lvlText w:val="%3."/>
      <w:lvlJc w:val="left"/>
      <w:pPr>
        <w:tabs>
          <w:tab w:val="num" w:pos="2160"/>
        </w:tabs>
        <w:ind w:left="2160" w:hanging="360"/>
      </w:pPr>
      <w:rPr>
        <w:rFonts w:cs="Times New Roman"/>
      </w:rPr>
    </w:lvl>
    <w:lvl w:ilvl="3" w:tplc="AD4E1844">
      <w:start w:val="1"/>
      <w:numFmt w:val="decimal"/>
      <w:lvlText w:val="%4."/>
      <w:lvlJc w:val="left"/>
      <w:pPr>
        <w:tabs>
          <w:tab w:val="num" w:pos="2880"/>
        </w:tabs>
        <w:ind w:left="2880" w:hanging="360"/>
      </w:pPr>
      <w:rPr>
        <w:rFonts w:cs="Times New Roman"/>
      </w:rPr>
    </w:lvl>
    <w:lvl w:ilvl="4" w:tplc="69021174">
      <w:start w:val="1"/>
      <w:numFmt w:val="decimal"/>
      <w:lvlText w:val="%5."/>
      <w:lvlJc w:val="left"/>
      <w:pPr>
        <w:tabs>
          <w:tab w:val="num" w:pos="3600"/>
        </w:tabs>
        <w:ind w:left="3600" w:hanging="360"/>
      </w:pPr>
      <w:rPr>
        <w:rFonts w:cs="Times New Roman"/>
      </w:rPr>
    </w:lvl>
    <w:lvl w:ilvl="5" w:tplc="E0B88BC0">
      <w:start w:val="1"/>
      <w:numFmt w:val="decimal"/>
      <w:lvlText w:val="%6."/>
      <w:lvlJc w:val="left"/>
      <w:pPr>
        <w:tabs>
          <w:tab w:val="num" w:pos="4320"/>
        </w:tabs>
        <w:ind w:left="4320" w:hanging="360"/>
      </w:pPr>
      <w:rPr>
        <w:rFonts w:cs="Times New Roman"/>
      </w:rPr>
    </w:lvl>
    <w:lvl w:ilvl="6" w:tplc="E94A3C18">
      <w:start w:val="1"/>
      <w:numFmt w:val="decimal"/>
      <w:lvlText w:val="%7."/>
      <w:lvlJc w:val="left"/>
      <w:pPr>
        <w:tabs>
          <w:tab w:val="num" w:pos="5040"/>
        </w:tabs>
        <w:ind w:left="5040" w:hanging="360"/>
      </w:pPr>
      <w:rPr>
        <w:rFonts w:cs="Times New Roman"/>
      </w:rPr>
    </w:lvl>
    <w:lvl w:ilvl="7" w:tplc="AFFCD71C">
      <w:start w:val="1"/>
      <w:numFmt w:val="decimal"/>
      <w:lvlText w:val="%8."/>
      <w:lvlJc w:val="left"/>
      <w:pPr>
        <w:tabs>
          <w:tab w:val="num" w:pos="5760"/>
        </w:tabs>
        <w:ind w:left="5760" w:hanging="360"/>
      </w:pPr>
      <w:rPr>
        <w:rFonts w:cs="Times New Roman"/>
      </w:rPr>
    </w:lvl>
    <w:lvl w:ilvl="8" w:tplc="06F40CDA">
      <w:start w:val="1"/>
      <w:numFmt w:val="decimal"/>
      <w:lvlText w:val="%9."/>
      <w:lvlJc w:val="left"/>
      <w:pPr>
        <w:tabs>
          <w:tab w:val="num" w:pos="6480"/>
        </w:tabs>
        <w:ind w:left="6480" w:hanging="360"/>
      </w:pPr>
      <w:rPr>
        <w:rFonts w:cs="Times New Roman"/>
      </w:rPr>
    </w:lvl>
  </w:abstractNum>
  <w:abstractNum w:abstractNumId="2">
    <w:nsid w:val="16C81D60"/>
    <w:multiLevelType w:val="hybridMultilevel"/>
    <w:tmpl w:val="E84C47F6"/>
    <w:lvl w:ilvl="0" w:tplc="04100017">
      <w:start w:val="7"/>
      <w:numFmt w:val="lowerLetter"/>
      <w:lvlText w:val="%1)"/>
      <w:lvlJc w:val="left"/>
      <w:pPr>
        <w:ind w:left="502"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CCE441F"/>
    <w:multiLevelType w:val="hybridMultilevel"/>
    <w:tmpl w:val="2974A96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398402B"/>
    <w:multiLevelType w:val="hybridMultilevel"/>
    <w:tmpl w:val="C762731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27B61E80"/>
    <w:multiLevelType w:val="hybridMultilevel"/>
    <w:tmpl w:val="17A6C0FC"/>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2CB2614E"/>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7">
    <w:nsid w:val="3BFB5AE0"/>
    <w:multiLevelType w:val="hybridMultilevel"/>
    <w:tmpl w:val="13002C18"/>
    <w:lvl w:ilvl="0" w:tplc="3C2E3542">
      <w:start w:val="1"/>
      <w:numFmt w:val="lowerLetter"/>
      <w:lvlText w:val="%1)"/>
      <w:lvlJc w:val="left"/>
      <w:pPr>
        <w:tabs>
          <w:tab w:val="num" w:pos="360"/>
        </w:tabs>
        <w:ind w:left="360" w:hanging="360"/>
      </w:pPr>
      <w:rPr>
        <w:rFonts w:cs="Times New Roman"/>
      </w:rPr>
    </w:lvl>
    <w:lvl w:ilvl="1" w:tplc="73748356">
      <w:start w:val="1"/>
      <w:numFmt w:val="bullet"/>
      <w:lvlText w:val="-"/>
      <w:lvlJc w:val="left"/>
      <w:pPr>
        <w:tabs>
          <w:tab w:val="num" w:pos="1080"/>
        </w:tabs>
        <w:ind w:left="1080" w:hanging="360"/>
      </w:pPr>
      <w:rPr>
        <w:rFonts w:ascii="Times New Roman" w:eastAsia="Times New Roman" w:hAnsi="Times New Roman" w:hint="default"/>
      </w:rPr>
    </w:lvl>
    <w:lvl w:ilvl="2" w:tplc="F8DE199E">
      <w:start w:val="1"/>
      <w:numFmt w:val="decimal"/>
      <w:lvlText w:val="%3."/>
      <w:lvlJc w:val="left"/>
      <w:pPr>
        <w:tabs>
          <w:tab w:val="num" w:pos="2160"/>
        </w:tabs>
        <w:ind w:left="2160" w:hanging="360"/>
      </w:pPr>
      <w:rPr>
        <w:rFonts w:cs="Times New Roman"/>
      </w:rPr>
    </w:lvl>
    <w:lvl w:ilvl="3" w:tplc="051E8D78">
      <w:start w:val="1"/>
      <w:numFmt w:val="decimal"/>
      <w:lvlText w:val="%4."/>
      <w:lvlJc w:val="left"/>
      <w:pPr>
        <w:tabs>
          <w:tab w:val="num" w:pos="2880"/>
        </w:tabs>
        <w:ind w:left="2880" w:hanging="360"/>
      </w:pPr>
      <w:rPr>
        <w:rFonts w:cs="Times New Roman"/>
      </w:rPr>
    </w:lvl>
    <w:lvl w:ilvl="4" w:tplc="DAE052AE">
      <w:start w:val="1"/>
      <w:numFmt w:val="decimal"/>
      <w:lvlText w:val="%5."/>
      <w:lvlJc w:val="left"/>
      <w:pPr>
        <w:tabs>
          <w:tab w:val="num" w:pos="3600"/>
        </w:tabs>
        <w:ind w:left="3600" w:hanging="360"/>
      </w:pPr>
      <w:rPr>
        <w:rFonts w:cs="Times New Roman"/>
      </w:rPr>
    </w:lvl>
    <w:lvl w:ilvl="5" w:tplc="30688BFA">
      <w:start w:val="1"/>
      <w:numFmt w:val="decimal"/>
      <w:lvlText w:val="%6."/>
      <w:lvlJc w:val="left"/>
      <w:pPr>
        <w:tabs>
          <w:tab w:val="num" w:pos="4320"/>
        </w:tabs>
        <w:ind w:left="4320" w:hanging="360"/>
      </w:pPr>
      <w:rPr>
        <w:rFonts w:cs="Times New Roman"/>
      </w:rPr>
    </w:lvl>
    <w:lvl w:ilvl="6" w:tplc="88524830">
      <w:start w:val="1"/>
      <w:numFmt w:val="decimal"/>
      <w:lvlText w:val="%7."/>
      <w:lvlJc w:val="left"/>
      <w:pPr>
        <w:tabs>
          <w:tab w:val="num" w:pos="5040"/>
        </w:tabs>
        <w:ind w:left="5040" w:hanging="360"/>
      </w:pPr>
      <w:rPr>
        <w:rFonts w:cs="Times New Roman"/>
      </w:rPr>
    </w:lvl>
    <w:lvl w:ilvl="7" w:tplc="D0BE8460">
      <w:start w:val="1"/>
      <w:numFmt w:val="decimal"/>
      <w:lvlText w:val="%8."/>
      <w:lvlJc w:val="left"/>
      <w:pPr>
        <w:tabs>
          <w:tab w:val="num" w:pos="5760"/>
        </w:tabs>
        <w:ind w:left="5760" w:hanging="360"/>
      </w:pPr>
      <w:rPr>
        <w:rFonts w:cs="Times New Roman"/>
      </w:rPr>
    </w:lvl>
    <w:lvl w:ilvl="8" w:tplc="F83A53C4">
      <w:start w:val="1"/>
      <w:numFmt w:val="decimal"/>
      <w:lvlText w:val="%9."/>
      <w:lvlJc w:val="left"/>
      <w:pPr>
        <w:tabs>
          <w:tab w:val="num" w:pos="6480"/>
        </w:tabs>
        <w:ind w:left="6480" w:hanging="360"/>
      </w:pPr>
      <w:rPr>
        <w:rFonts w:cs="Times New Roman"/>
      </w:rPr>
    </w:lvl>
  </w:abstractNum>
  <w:abstractNum w:abstractNumId="8">
    <w:nsid w:val="488C69FE"/>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nsid w:val="4B4E285F"/>
    <w:multiLevelType w:val="hybridMultilevel"/>
    <w:tmpl w:val="071E461C"/>
    <w:lvl w:ilvl="0" w:tplc="903AAA68">
      <w:start w:val="16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D036B1"/>
    <w:multiLevelType w:val="hybridMultilevel"/>
    <w:tmpl w:val="C3C4EB30"/>
    <w:lvl w:ilvl="0" w:tplc="1CEE31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C85515C"/>
    <w:multiLevelType w:val="hybridMultilevel"/>
    <w:tmpl w:val="140EE472"/>
    <w:lvl w:ilvl="0" w:tplc="8A4600E8">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5F5B60BD"/>
    <w:multiLevelType w:val="hybridMultilevel"/>
    <w:tmpl w:val="FC6451E6"/>
    <w:lvl w:ilvl="0" w:tplc="F138A334">
      <w:start w:val="1"/>
      <w:numFmt w:val="bullet"/>
      <w:lvlText w:val="-"/>
      <w:lvlJc w:val="left"/>
      <w:pPr>
        <w:tabs>
          <w:tab w:val="num" w:pos="360"/>
        </w:tabs>
        <w:ind w:left="360" w:hanging="360"/>
      </w:pPr>
      <w:rPr>
        <w:rFonts w:ascii="Times New Roman" w:eastAsia="Times New Roman" w:hAnsi="Times New Roman" w:hint="default"/>
      </w:rPr>
    </w:lvl>
    <w:lvl w:ilvl="1" w:tplc="8D10318E" w:tentative="1">
      <w:start w:val="1"/>
      <w:numFmt w:val="bullet"/>
      <w:lvlText w:val="o"/>
      <w:lvlJc w:val="left"/>
      <w:pPr>
        <w:tabs>
          <w:tab w:val="num" w:pos="1440"/>
        </w:tabs>
        <w:ind w:left="1440" w:hanging="360"/>
      </w:pPr>
      <w:rPr>
        <w:rFonts w:ascii="Courier New" w:hAnsi="Courier New" w:hint="default"/>
      </w:rPr>
    </w:lvl>
    <w:lvl w:ilvl="2" w:tplc="7DC436CA" w:tentative="1">
      <w:start w:val="1"/>
      <w:numFmt w:val="bullet"/>
      <w:lvlText w:val=""/>
      <w:lvlJc w:val="left"/>
      <w:pPr>
        <w:tabs>
          <w:tab w:val="num" w:pos="2160"/>
        </w:tabs>
        <w:ind w:left="2160" w:hanging="360"/>
      </w:pPr>
      <w:rPr>
        <w:rFonts w:ascii="Wingdings" w:hAnsi="Wingdings" w:hint="default"/>
      </w:rPr>
    </w:lvl>
    <w:lvl w:ilvl="3" w:tplc="68DE7CBC" w:tentative="1">
      <w:start w:val="1"/>
      <w:numFmt w:val="bullet"/>
      <w:lvlText w:val=""/>
      <w:lvlJc w:val="left"/>
      <w:pPr>
        <w:tabs>
          <w:tab w:val="num" w:pos="2880"/>
        </w:tabs>
        <w:ind w:left="2880" w:hanging="360"/>
      </w:pPr>
      <w:rPr>
        <w:rFonts w:ascii="Symbol" w:hAnsi="Symbol" w:hint="default"/>
      </w:rPr>
    </w:lvl>
    <w:lvl w:ilvl="4" w:tplc="DF2AECFC" w:tentative="1">
      <w:start w:val="1"/>
      <w:numFmt w:val="bullet"/>
      <w:lvlText w:val="o"/>
      <w:lvlJc w:val="left"/>
      <w:pPr>
        <w:tabs>
          <w:tab w:val="num" w:pos="3600"/>
        </w:tabs>
        <w:ind w:left="3600" w:hanging="360"/>
      </w:pPr>
      <w:rPr>
        <w:rFonts w:ascii="Courier New" w:hAnsi="Courier New" w:hint="default"/>
      </w:rPr>
    </w:lvl>
    <w:lvl w:ilvl="5" w:tplc="01D0F7D4" w:tentative="1">
      <w:start w:val="1"/>
      <w:numFmt w:val="bullet"/>
      <w:lvlText w:val=""/>
      <w:lvlJc w:val="left"/>
      <w:pPr>
        <w:tabs>
          <w:tab w:val="num" w:pos="4320"/>
        </w:tabs>
        <w:ind w:left="4320" w:hanging="360"/>
      </w:pPr>
      <w:rPr>
        <w:rFonts w:ascii="Wingdings" w:hAnsi="Wingdings" w:hint="default"/>
      </w:rPr>
    </w:lvl>
    <w:lvl w:ilvl="6" w:tplc="0A6AE94E" w:tentative="1">
      <w:start w:val="1"/>
      <w:numFmt w:val="bullet"/>
      <w:lvlText w:val=""/>
      <w:lvlJc w:val="left"/>
      <w:pPr>
        <w:tabs>
          <w:tab w:val="num" w:pos="5040"/>
        </w:tabs>
        <w:ind w:left="5040" w:hanging="360"/>
      </w:pPr>
      <w:rPr>
        <w:rFonts w:ascii="Symbol" w:hAnsi="Symbol" w:hint="default"/>
      </w:rPr>
    </w:lvl>
    <w:lvl w:ilvl="7" w:tplc="112654A6" w:tentative="1">
      <w:start w:val="1"/>
      <w:numFmt w:val="bullet"/>
      <w:lvlText w:val="o"/>
      <w:lvlJc w:val="left"/>
      <w:pPr>
        <w:tabs>
          <w:tab w:val="num" w:pos="5760"/>
        </w:tabs>
        <w:ind w:left="5760" w:hanging="360"/>
      </w:pPr>
      <w:rPr>
        <w:rFonts w:ascii="Courier New" w:hAnsi="Courier New" w:hint="default"/>
      </w:rPr>
    </w:lvl>
    <w:lvl w:ilvl="8" w:tplc="DF08EC5E" w:tentative="1">
      <w:start w:val="1"/>
      <w:numFmt w:val="bullet"/>
      <w:lvlText w:val=""/>
      <w:lvlJc w:val="left"/>
      <w:pPr>
        <w:tabs>
          <w:tab w:val="num" w:pos="6480"/>
        </w:tabs>
        <w:ind w:left="6480" w:hanging="360"/>
      </w:pPr>
      <w:rPr>
        <w:rFonts w:ascii="Wingdings" w:hAnsi="Wingdings" w:hint="default"/>
      </w:rPr>
    </w:lvl>
  </w:abstractNum>
  <w:abstractNum w:abstractNumId="13">
    <w:nsid w:val="61C74FF6"/>
    <w:multiLevelType w:val="hybridMultilevel"/>
    <w:tmpl w:val="4DFAD87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663430B4"/>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nsid w:val="6BEE4A64"/>
    <w:multiLevelType w:val="hybridMultilevel"/>
    <w:tmpl w:val="17A6C0F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71132A5E"/>
    <w:multiLevelType w:val="hybridMultilevel"/>
    <w:tmpl w:val="75B03EC0"/>
    <w:lvl w:ilvl="0" w:tplc="43A81B18">
      <w:numFmt w:val="bullet"/>
      <w:lvlText w:val="-"/>
      <w:lvlJc w:val="left"/>
      <w:pPr>
        <w:tabs>
          <w:tab w:val="num" w:pos="720"/>
        </w:tabs>
        <w:ind w:left="720" w:hanging="360"/>
      </w:pPr>
      <w:rPr>
        <w:rFonts w:ascii="Arial" w:eastAsia="Times New Roman" w:hAnsi="Arial" w:hint="default"/>
      </w:rPr>
    </w:lvl>
    <w:lvl w:ilvl="1" w:tplc="F0F6B994" w:tentative="1">
      <w:start w:val="1"/>
      <w:numFmt w:val="bullet"/>
      <w:lvlText w:val="o"/>
      <w:lvlJc w:val="left"/>
      <w:pPr>
        <w:tabs>
          <w:tab w:val="num" w:pos="1440"/>
        </w:tabs>
        <w:ind w:left="1440" w:hanging="360"/>
      </w:pPr>
      <w:rPr>
        <w:rFonts w:ascii="Courier New" w:hAnsi="Courier New" w:hint="default"/>
      </w:rPr>
    </w:lvl>
    <w:lvl w:ilvl="2" w:tplc="F222C8DE" w:tentative="1">
      <w:start w:val="1"/>
      <w:numFmt w:val="bullet"/>
      <w:lvlText w:val=""/>
      <w:lvlJc w:val="left"/>
      <w:pPr>
        <w:tabs>
          <w:tab w:val="num" w:pos="2160"/>
        </w:tabs>
        <w:ind w:left="2160" w:hanging="360"/>
      </w:pPr>
      <w:rPr>
        <w:rFonts w:ascii="Wingdings" w:hAnsi="Wingdings" w:hint="default"/>
      </w:rPr>
    </w:lvl>
    <w:lvl w:ilvl="3" w:tplc="7A547E1E" w:tentative="1">
      <w:start w:val="1"/>
      <w:numFmt w:val="bullet"/>
      <w:lvlText w:val=""/>
      <w:lvlJc w:val="left"/>
      <w:pPr>
        <w:tabs>
          <w:tab w:val="num" w:pos="2880"/>
        </w:tabs>
        <w:ind w:left="2880" w:hanging="360"/>
      </w:pPr>
      <w:rPr>
        <w:rFonts w:ascii="Symbol" w:hAnsi="Symbol" w:hint="default"/>
      </w:rPr>
    </w:lvl>
    <w:lvl w:ilvl="4" w:tplc="A5BA637C" w:tentative="1">
      <w:start w:val="1"/>
      <w:numFmt w:val="bullet"/>
      <w:lvlText w:val="o"/>
      <w:lvlJc w:val="left"/>
      <w:pPr>
        <w:tabs>
          <w:tab w:val="num" w:pos="3600"/>
        </w:tabs>
        <w:ind w:left="3600" w:hanging="360"/>
      </w:pPr>
      <w:rPr>
        <w:rFonts w:ascii="Courier New" w:hAnsi="Courier New" w:hint="default"/>
      </w:rPr>
    </w:lvl>
    <w:lvl w:ilvl="5" w:tplc="2662D30C" w:tentative="1">
      <w:start w:val="1"/>
      <w:numFmt w:val="bullet"/>
      <w:lvlText w:val=""/>
      <w:lvlJc w:val="left"/>
      <w:pPr>
        <w:tabs>
          <w:tab w:val="num" w:pos="4320"/>
        </w:tabs>
        <w:ind w:left="4320" w:hanging="360"/>
      </w:pPr>
      <w:rPr>
        <w:rFonts w:ascii="Wingdings" w:hAnsi="Wingdings" w:hint="default"/>
      </w:rPr>
    </w:lvl>
    <w:lvl w:ilvl="6" w:tplc="13EED308" w:tentative="1">
      <w:start w:val="1"/>
      <w:numFmt w:val="bullet"/>
      <w:lvlText w:val=""/>
      <w:lvlJc w:val="left"/>
      <w:pPr>
        <w:tabs>
          <w:tab w:val="num" w:pos="5040"/>
        </w:tabs>
        <w:ind w:left="5040" w:hanging="360"/>
      </w:pPr>
      <w:rPr>
        <w:rFonts w:ascii="Symbol" w:hAnsi="Symbol" w:hint="default"/>
      </w:rPr>
    </w:lvl>
    <w:lvl w:ilvl="7" w:tplc="6F2EC11A" w:tentative="1">
      <w:start w:val="1"/>
      <w:numFmt w:val="bullet"/>
      <w:lvlText w:val="o"/>
      <w:lvlJc w:val="left"/>
      <w:pPr>
        <w:tabs>
          <w:tab w:val="num" w:pos="5760"/>
        </w:tabs>
        <w:ind w:left="5760" w:hanging="360"/>
      </w:pPr>
      <w:rPr>
        <w:rFonts w:ascii="Courier New" w:hAnsi="Courier New" w:hint="default"/>
      </w:rPr>
    </w:lvl>
    <w:lvl w:ilvl="8" w:tplc="91DC1F80" w:tentative="1">
      <w:start w:val="1"/>
      <w:numFmt w:val="bullet"/>
      <w:lvlText w:val=""/>
      <w:lvlJc w:val="left"/>
      <w:pPr>
        <w:tabs>
          <w:tab w:val="num" w:pos="6480"/>
        </w:tabs>
        <w:ind w:left="6480" w:hanging="360"/>
      </w:pPr>
      <w:rPr>
        <w:rFonts w:ascii="Wingdings" w:hAnsi="Wingdings" w:hint="default"/>
      </w:rPr>
    </w:lvl>
  </w:abstractNum>
  <w:abstractNum w:abstractNumId="17">
    <w:nsid w:val="7153509B"/>
    <w:multiLevelType w:val="hybridMultilevel"/>
    <w:tmpl w:val="3D683638"/>
    <w:lvl w:ilvl="0" w:tplc="B9B03E4A">
      <w:start w:val="1"/>
      <w:numFmt w:val="bullet"/>
      <w:lvlText w:val="-"/>
      <w:lvlJc w:val="left"/>
      <w:pPr>
        <w:tabs>
          <w:tab w:val="num" w:pos="360"/>
        </w:tabs>
        <w:ind w:left="360" w:hanging="360"/>
      </w:pPr>
      <w:rPr>
        <w:rFonts w:ascii="Times New Roman" w:eastAsia="Times New Roman" w:hAnsi="Times New Roman" w:hint="default"/>
      </w:rPr>
    </w:lvl>
    <w:lvl w:ilvl="1" w:tplc="E806CE44">
      <w:start w:val="1"/>
      <w:numFmt w:val="decimal"/>
      <w:lvlText w:val="%2."/>
      <w:lvlJc w:val="left"/>
      <w:pPr>
        <w:tabs>
          <w:tab w:val="num" w:pos="1440"/>
        </w:tabs>
        <w:ind w:left="1440" w:hanging="360"/>
      </w:pPr>
      <w:rPr>
        <w:rFonts w:cs="Times New Roman"/>
      </w:rPr>
    </w:lvl>
    <w:lvl w:ilvl="2" w:tplc="A62696FE">
      <w:start w:val="1"/>
      <w:numFmt w:val="decimal"/>
      <w:lvlText w:val="%3."/>
      <w:lvlJc w:val="left"/>
      <w:pPr>
        <w:tabs>
          <w:tab w:val="num" w:pos="2160"/>
        </w:tabs>
        <w:ind w:left="2160" w:hanging="360"/>
      </w:pPr>
      <w:rPr>
        <w:rFonts w:cs="Times New Roman"/>
      </w:rPr>
    </w:lvl>
    <w:lvl w:ilvl="3" w:tplc="1960CB46">
      <w:start w:val="1"/>
      <w:numFmt w:val="decimal"/>
      <w:lvlText w:val="%4."/>
      <w:lvlJc w:val="left"/>
      <w:pPr>
        <w:tabs>
          <w:tab w:val="num" w:pos="2880"/>
        </w:tabs>
        <w:ind w:left="2880" w:hanging="360"/>
      </w:pPr>
      <w:rPr>
        <w:rFonts w:cs="Times New Roman"/>
      </w:rPr>
    </w:lvl>
    <w:lvl w:ilvl="4" w:tplc="B5A28A5A">
      <w:start w:val="1"/>
      <w:numFmt w:val="decimal"/>
      <w:lvlText w:val="%5."/>
      <w:lvlJc w:val="left"/>
      <w:pPr>
        <w:tabs>
          <w:tab w:val="num" w:pos="3600"/>
        </w:tabs>
        <w:ind w:left="3600" w:hanging="360"/>
      </w:pPr>
      <w:rPr>
        <w:rFonts w:cs="Times New Roman"/>
      </w:rPr>
    </w:lvl>
    <w:lvl w:ilvl="5" w:tplc="13BC87D4">
      <w:start w:val="1"/>
      <w:numFmt w:val="decimal"/>
      <w:lvlText w:val="%6."/>
      <w:lvlJc w:val="left"/>
      <w:pPr>
        <w:tabs>
          <w:tab w:val="num" w:pos="4320"/>
        </w:tabs>
        <w:ind w:left="4320" w:hanging="360"/>
      </w:pPr>
      <w:rPr>
        <w:rFonts w:cs="Times New Roman"/>
      </w:rPr>
    </w:lvl>
    <w:lvl w:ilvl="6" w:tplc="4692B3E2">
      <w:start w:val="1"/>
      <w:numFmt w:val="decimal"/>
      <w:lvlText w:val="%7."/>
      <w:lvlJc w:val="left"/>
      <w:pPr>
        <w:tabs>
          <w:tab w:val="num" w:pos="5040"/>
        </w:tabs>
        <w:ind w:left="5040" w:hanging="360"/>
      </w:pPr>
      <w:rPr>
        <w:rFonts w:cs="Times New Roman"/>
      </w:rPr>
    </w:lvl>
    <w:lvl w:ilvl="7" w:tplc="6F963A08">
      <w:start w:val="1"/>
      <w:numFmt w:val="decimal"/>
      <w:lvlText w:val="%8."/>
      <w:lvlJc w:val="left"/>
      <w:pPr>
        <w:tabs>
          <w:tab w:val="num" w:pos="5760"/>
        </w:tabs>
        <w:ind w:left="5760" w:hanging="360"/>
      </w:pPr>
      <w:rPr>
        <w:rFonts w:cs="Times New Roman"/>
      </w:rPr>
    </w:lvl>
    <w:lvl w:ilvl="8" w:tplc="ADDA0F5A">
      <w:start w:val="1"/>
      <w:numFmt w:val="decimal"/>
      <w:lvlText w:val="%9."/>
      <w:lvlJc w:val="left"/>
      <w:pPr>
        <w:tabs>
          <w:tab w:val="num" w:pos="6480"/>
        </w:tabs>
        <w:ind w:left="6480" w:hanging="360"/>
      </w:pPr>
      <w:rPr>
        <w:rFonts w:cs="Times New Roman"/>
      </w:rPr>
    </w:lvl>
  </w:abstractNum>
  <w:abstractNum w:abstractNumId="18">
    <w:nsid w:val="72AF7C0F"/>
    <w:multiLevelType w:val="hybridMultilevel"/>
    <w:tmpl w:val="43520E5E"/>
    <w:lvl w:ilvl="0" w:tplc="7A4C59BE">
      <w:start w:val="1"/>
      <w:numFmt w:val="bullet"/>
      <w:lvlText w:val="-"/>
      <w:lvlJc w:val="left"/>
      <w:pPr>
        <w:tabs>
          <w:tab w:val="num" w:pos="360"/>
        </w:tabs>
        <w:ind w:left="360" w:hanging="360"/>
      </w:pPr>
      <w:rPr>
        <w:rFonts w:ascii="Times New Roman" w:eastAsia="Times New Roman" w:hAnsi="Times New Roman" w:hint="default"/>
      </w:rPr>
    </w:lvl>
    <w:lvl w:ilvl="1" w:tplc="63A8B3F2">
      <w:start w:val="1"/>
      <w:numFmt w:val="decimal"/>
      <w:lvlText w:val="%2."/>
      <w:lvlJc w:val="left"/>
      <w:pPr>
        <w:tabs>
          <w:tab w:val="num" w:pos="1440"/>
        </w:tabs>
        <w:ind w:left="1440" w:hanging="360"/>
      </w:pPr>
      <w:rPr>
        <w:rFonts w:cs="Times New Roman"/>
      </w:rPr>
    </w:lvl>
    <w:lvl w:ilvl="2" w:tplc="C3E259C8">
      <w:start w:val="1"/>
      <w:numFmt w:val="decimal"/>
      <w:lvlText w:val="%3."/>
      <w:lvlJc w:val="left"/>
      <w:pPr>
        <w:tabs>
          <w:tab w:val="num" w:pos="2160"/>
        </w:tabs>
        <w:ind w:left="2160" w:hanging="360"/>
      </w:pPr>
      <w:rPr>
        <w:rFonts w:cs="Times New Roman"/>
      </w:rPr>
    </w:lvl>
    <w:lvl w:ilvl="3" w:tplc="C388E698">
      <w:start w:val="1"/>
      <w:numFmt w:val="decimal"/>
      <w:lvlText w:val="%4."/>
      <w:lvlJc w:val="left"/>
      <w:pPr>
        <w:tabs>
          <w:tab w:val="num" w:pos="2880"/>
        </w:tabs>
        <w:ind w:left="2880" w:hanging="360"/>
      </w:pPr>
      <w:rPr>
        <w:rFonts w:cs="Times New Roman"/>
      </w:rPr>
    </w:lvl>
    <w:lvl w:ilvl="4" w:tplc="1A220D42">
      <w:start w:val="1"/>
      <w:numFmt w:val="decimal"/>
      <w:lvlText w:val="%5."/>
      <w:lvlJc w:val="left"/>
      <w:pPr>
        <w:tabs>
          <w:tab w:val="num" w:pos="3600"/>
        </w:tabs>
        <w:ind w:left="3600" w:hanging="360"/>
      </w:pPr>
      <w:rPr>
        <w:rFonts w:cs="Times New Roman"/>
      </w:rPr>
    </w:lvl>
    <w:lvl w:ilvl="5" w:tplc="08169CC2">
      <w:start w:val="1"/>
      <w:numFmt w:val="decimal"/>
      <w:lvlText w:val="%6."/>
      <w:lvlJc w:val="left"/>
      <w:pPr>
        <w:tabs>
          <w:tab w:val="num" w:pos="4320"/>
        </w:tabs>
        <w:ind w:left="4320" w:hanging="360"/>
      </w:pPr>
      <w:rPr>
        <w:rFonts w:cs="Times New Roman"/>
      </w:rPr>
    </w:lvl>
    <w:lvl w:ilvl="6" w:tplc="2BCEDD6C">
      <w:start w:val="1"/>
      <w:numFmt w:val="decimal"/>
      <w:lvlText w:val="%7."/>
      <w:lvlJc w:val="left"/>
      <w:pPr>
        <w:tabs>
          <w:tab w:val="num" w:pos="5040"/>
        </w:tabs>
        <w:ind w:left="5040" w:hanging="360"/>
      </w:pPr>
      <w:rPr>
        <w:rFonts w:cs="Times New Roman"/>
      </w:rPr>
    </w:lvl>
    <w:lvl w:ilvl="7" w:tplc="20EC808C">
      <w:start w:val="1"/>
      <w:numFmt w:val="decimal"/>
      <w:lvlText w:val="%8."/>
      <w:lvlJc w:val="left"/>
      <w:pPr>
        <w:tabs>
          <w:tab w:val="num" w:pos="5760"/>
        </w:tabs>
        <w:ind w:left="5760" w:hanging="360"/>
      </w:pPr>
      <w:rPr>
        <w:rFonts w:cs="Times New Roman"/>
      </w:rPr>
    </w:lvl>
    <w:lvl w:ilvl="8" w:tplc="17B83760">
      <w:start w:val="1"/>
      <w:numFmt w:val="decimal"/>
      <w:lvlText w:val="%9."/>
      <w:lvlJc w:val="left"/>
      <w:pPr>
        <w:tabs>
          <w:tab w:val="num" w:pos="6480"/>
        </w:tabs>
        <w:ind w:left="6480" w:hanging="360"/>
      </w:pPr>
      <w:rPr>
        <w:rFonts w:cs="Times New Roman"/>
      </w:rPr>
    </w:lvl>
  </w:abstractNum>
  <w:abstractNum w:abstractNumId="19">
    <w:nsid w:val="77112519"/>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0"/>
  </w:num>
  <w:num w:numId="12">
    <w:abstractNumId w:val="11"/>
  </w:num>
  <w:num w:numId="13">
    <w:abstractNumId w:val="10"/>
  </w:num>
  <w:num w:numId="14">
    <w:abstractNumId w:val="2"/>
  </w:num>
  <w:num w:numId="15">
    <w:abstractNumId w:val="15"/>
  </w:num>
  <w:num w:numId="16">
    <w:abstractNumId w:val="5"/>
  </w:num>
  <w:num w:numId="17">
    <w:abstractNumId w:val="13"/>
  </w:num>
  <w:num w:numId="18">
    <w:abstractNumId w:val="9"/>
  </w:num>
  <w:num w:numId="19">
    <w:abstractNumId w:val="3"/>
  </w:num>
  <w:num w:numId="20">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6D9"/>
    <w:rsid w:val="00020951"/>
    <w:rsid w:val="0004795F"/>
    <w:rsid w:val="00062D32"/>
    <w:rsid w:val="000643C9"/>
    <w:rsid w:val="000B0A62"/>
    <w:rsid w:val="000C6B8B"/>
    <w:rsid w:val="000D0BE4"/>
    <w:rsid w:val="00123C77"/>
    <w:rsid w:val="0013344D"/>
    <w:rsid w:val="00152B41"/>
    <w:rsid w:val="0016156E"/>
    <w:rsid w:val="001A1943"/>
    <w:rsid w:val="001D19A5"/>
    <w:rsid w:val="002269E8"/>
    <w:rsid w:val="00233600"/>
    <w:rsid w:val="002673D3"/>
    <w:rsid w:val="0027066B"/>
    <w:rsid w:val="002C295A"/>
    <w:rsid w:val="002C769C"/>
    <w:rsid w:val="002D35C8"/>
    <w:rsid w:val="00327970"/>
    <w:rsid w:val="003431A5"/>
    <w:rsid w:val="003457BB"/>
    <w:rsid w:val="00345E77"/>
    <w:rsid w:val="003607AB"/>
    <w:rsid w:val="00367F8E"/>
    <w:rsid w:val="003B25DE"/>
    <w:rsid w:val="003B78AA"/>
    <w:rsid w:val="003D76D9"/>
    <w:rsid w:val="0041625B"/>
    <w:rsid w:val="00436552"/>
    <w:rsid w:val="00442DE0"/>
    <w:rsid w:val="00451D35"/>
    <w:rsid w:val="00467FE8"/>
    <w:rsid w:val="00481FBD"/>
    <w:rsid w:val="004A0A0D"/>
    <w:rsid w:val="004F01B5"/>
    <w:rsid w:val="004F39DA"/>
    <w:rsid w:val="00504CE1"/>
    <w:rsid w:val="00523980"/>
    <w:rsid w:val="00554FB0"/>
    <w:rsid w:val="005618F8"/>
    <w:rsid w:val="005637E3"/>
    <w:rsid w:val="005645C0"/>
    <w:rsid w:val="00565120"/>
    <w:rsid w:val="005764D4"/>
    <w:rsid w:val="005938FA"/>
    <w:rsid w:val="005F4301"/>
    <w:rsid w:val="00600ECA"/>
    <w:rsid w:val="00611929"/>
    <w:rsid w:val="00632A65"/>
    <w:rsid w:val="006645D5"/>
    <w:rsid w:val="00677F40"/>
    <w:rsid w:val="006B376A"/>
    <w:rsid w:val="006F613B"/>
    <w:rsid w:val="00757293"/>
    <w:rsid w:val="007B56CD"/>
    <w:rsid w:val="007D4C07"/>
    <w:rsid w:val="007F0A57"/>
    <w:rsid w:val="008279EA"/>
    <w:rsid w:val="008541EB"/>
    <w:rsid w:val="00872A14"/>
    <w:rsid w:val="00880C6C"/>
    <w:rsid w:val="008A411F"/>
    <w:rsid w:val="008A4268"/>
    <w:rsid w:val="008A5508"/>
    <w:rsid w:val="008C13FB"/>
    <w:rsid w:val="008C4CF7"/>
    <w:rsid w:val="008D2AEB"/>
    <w:rsid w:val="008F651C"/>
    <w:rsid w:val="009174B6"/>
    <w:rsid w:val="00927FBD"/>
    <w:rsid w:val="0099745E"/>
    <w:rsid w:val="009C633C"/>
    <w:rsid w:val="00A038BA"/>
    <w:rsid w:val="00A07F30"/>
    <w:rsid w:val="00A371E7"/>
    <w:rsid w:val="00A40C4A"/>
    <w:rsid w:val="00A66184"/>
    <w:rsid w:val="00A706A3"/>
    <w:rsid w:val="00A96227"/>
    <w:rsid w:val="00AC4495"/>
    <w:rsid w:val="00AD365B"/>
    <w:rsid w:val="00AE530C"/>
    <w:rsid w:val="00B14072"/>
    <w:rsid w:val="00B275DF"/>
    <w:rsid w:val="00B34999"/>
    <w:rsid w:val="00B73765"/>
    <w:rsid w:val="00B91A8A"/>
    <w:rsid w:val="00BD1C6B"/>
    <w:rsid w:val="00BD6E8F"/>
    <w:rsid w:val="00C15A6C"/>
    <w:rsid w:val="00C5347C"/>
    <w:rsid w:val="00C8243E"/>
    <w:rsid w:val="00CD1320"/>
    <w:rsid w:val="00D00B8B"/>
    <w:rsid w:val="00D10093"/>
    <w:rsid w:val="00D2219F"/>
    <w:rsid w:val="00D250A9"/>
    <w:rsid w:val="00D41D11"/>
    <w:rsid w:val="00D4361A"/>
    <w:rsid w:val="00D70878"/>
    <w:rsid w:val="00D7543A"/>
    <w:rsid w:val="00D90F52"/>
    <w:rsid w:val="00DB5A61"/>
    <w:rsid w:val="00DD6BCF"/>
    <w:rsid w:val="00DF0B9E"/>
    <w:rsid w:val="00DF0D2A"/>
    <w:rsid w:val="00E11CA8"/>
    <w:rsid w:val="00E24C0E"/>
    <w:rsid w:val="00E304F9"/>
    <w:rsid w:val="00EA33D8"/>
    <w:rsid w:val="00EB3032"/>
    <w:rsid w:val="00F04FAC"/>
    <w:rsid w:val="00F14EC1"/>
    <w:rsid w:val="00F330D6"/>
    <w:rsid w:val="00F42D3D"/>
    <w:rsid w:val="00F43702"/>
    <w:rsid w:val="00F55947"/>
    <w:rsid w:val="00F834A8"/>
    <w:rsid w:val="00F919B3"/>
    <w:rsid w:val="00FA5F5E"/>
    <w:rsid w:val="00FB2E14"/>
    <w:rsid w:val="00FB6297"/>
    <w:rsid w:val="00FC6459"/>
    <w:rsid w:val="00FD43C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MS Mincho" w:hAnsi="Arial"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D9"/>
    <w:rPr>
      <w:rFonts w:ascii="Times New Roman" w:hAnsi="Times New Roman"/>
      <w:sz w:val="24"/>
      <w:szCs w:val="24"/>
    </w:rPr>
  </w:style>
  <w:style w:type="paragraph" w:styleId="Heading1">
    <w:name w:val="heading 1"/>
    <w:basedOn w:val="Normal"/>
    <w:next w:val="Normal"/>
    <w:link w:val="Heading1Char"/>
    <w:uiPriority w:val="99"/>
    <w:qFormat/>
    <w:rsid w:val="003D76D9"/>
    <w:pPr>
      <w:widowControl w:val="0"/>
      <w:pBdr>
        <w:top w:val="single" w:sz="6" w:space="1" w:color="auto" w:shadow="1"/>
        <w:left w:val="single" w:sz="6" w:space="4" w:color="auto" w:shadow="1"/>
        <w:bottom w:val="single" w:sz="6" w:space="1" w:color="auto" w:shadow="1"/>
        <w:right w:val="single" w:sz="6" w:space="4" w:color="auto" w:shadow="1"/>
      </w:pBdr>
      <w:shd w:val="clear" w:color="auto" w:fill="FFFFFF"/>
      <w:overflowPunct w:val="0"/>
      <w:autoSpaceDE w:val="0"/>
      <w:autoSpaceDN w:val="0"/>
      <w:adjustRightInd w:val="0"/>
      <w:spacing w:after="360"/>
      <w:jc w:val="center"/>
      <w:outlineLvl w:val="0"/>
    </w:pPr>
    <w:rPr>
      <w:rFonts w:ascii="Arial" w:hAnsi="Arial"/>
      <w:b/>
      <w:i/>
      <w:szCs w:val="20"/>
    </w:rPr>
  </w:style>
  <w:style w:type="paragraph" w:styleId="Heading2">
    <w:name w:val="heading 2"/>
    <w:basedOn w:val="BodyText2"/>
    <w:next w:val="Normal"/>
    <w:link w:val="Heading2Char"/>
    <w:uiPriority w:val="99"/>
    <w:qFormat/>
    <w:rsid w:val="003D76D9"/>
    <w:pPr>
      <w:jc w:val="both"/>
      <w:outlineLvl w:val="1"/>
    </w:pPr>
    <w:rPr>
      <w:b/>
      <w:sz w:val="24"/>
      <w:u w:val="single"/>
    </w:rPr>
  </w:style>
  <w:style w:type="paragraph" w:styleId="Heading3">
    <w:name w:val="heading 3"/>
    <w:basedOn w:val="Heading2"/>
    <w:next w:val="Normal"/>
    <w:link w:val="Heading3Char"/>
    <w:uiPriority w:val="99"/>
    <w:qFormat/>
    <w:rsid w:val="003D76D9"/>
    <w:pPr>
      <w:outlineLvl w:val="2"/>
    </w:pPr>
    <w:rPr>
      <w:sz w:val="22"/>
    </w:rPr>
  </w:style>
  <w:style w:type="paragraph" w:styleId="Heading4">
    <w:name w:val="heading 4"/>
    <w:basedOn w:val="Normal"/>
    <w:next w:val="Normal"/>
    <w:link w:val="Heading4Char"/>
    <w:uiPriority w:val="99"/>
    <w:qFormat/>
    <w:rsid w:val="003D76D9"/>
    <w:pPr>
      <w:keepNext/>
      <w:spacing w:after="240"/>
      <w:jc w:val="center"/>
      <w:outlineLvl w:val="3"/>
    </w:pPr>
    <w:rPr>
      <w:rFonts w:ascii="Arial" w:hAnsi="Arial"/>
      <w:b/>
      <w:i/>
      <w:sz w:val="36"/>
    </w:rPr>
  </w:style>
  <w:style w:type="paragraph" w:styleId="Heading6">
    <w:name w:val="heading 6"/>
    <w:basedOn w:val="Normal"/>
    <w:next w:val="Normal"/>
    <w:link w:val="Heading6Char"/>
    <w:uiPriority w:val="99"/>
    <w:qFormat/>
    <w:rsid w:val="003D76D9"/>
    <w:pPr>
      <w:keepNext/>
      <w:numPr>
        <w:ilvl w:val="12"/>
      </w:numPr>
      <w:jc w:val="both"/>
      <w:outlineLvl w:val="5"/>
    </w:pPr>
    <w:rPr>
      <w:rFonts w:ascii="Arial" w:hAnsi="Arial"/>
      <w:b/>
      <w:u w:val="single"/>
    </w:rPr>
  </w:style>
  <w:style w:type="paragraph" w:styleId="Heading8">
    <w:name w:val="heading 8"/>
    <w:basedOn w:val="Normal"/>
    <w:next w:val="Normal"/>
    <w:link w:val="Heading8Char"/>
    <w:uiPriority w:val="99"/>
    <w:qFormat/>
    <w:rsid w:val="003D76D9"/>
    <w:pPr>
      <w:keepNext/>
      <w:widowControl w:val="0"/>
      <w:overflowPunct w:val="0"/>
      <w:autoSpaceDE w:val="0"/>
      <w:autoSpaceDN w:val="0"/>
      <w:adjustRightInd w:val="0"/>
      <w:spacing w:after="120"/>
      <w:jc w:val="both"/>
      <w:outlineLvl w:val="7"/>
    </w:pPr>
    <w:rPr>
      <w:rFonts w:ascii="Arial" w:hAnsi="Arial"/>
      <w:b/>
      <w:szCs w:val="20"/>
    </w:rPr>
  </w:style>
  <w:style w:type="paragraph" w:styleId="Heading9">
    <w:name w:val="heading 9"/>
    <w:basedOn w:val="Normal"/>
    <w:next w:val="Normal"/>
    <w:link w:val="Heading9Char"/>
    <w:uiPriority w:val="99"/>
    <w:qFormat/>
    <w:rsid w:val="003D76D9"/>
    <w:pPr>
      <w:keepNext/>
      <w:numPr>
        <w:ilvl w:val="12"/>
      </w:numPr>
      <w:outlineLvl w:val="8"/>
    </w:pPr>
    <w:rPr>
      <w:rFonts w:ascii="Arial" w:hAnsi="Arial"/>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76D9"/>
    <w:rPr>
      <w:rFonts w:eastAsia="Times New Roman" w:cs="Times New Roman"/>
      <w:b/>
      <w:i/>
      <w:sz w:val="20"/>
      <w:shd w:val="clear" w:color="auto" w:fill="FFFFFF"/>
      <w:lang w:eastAsia="it-IT"/>
    </w:rPr>
  </w:style>
  <w:style w:type="character" w:customStyle="1" w:styleId="Heading2Char">
    <w:name w:val="Heading 2 Char"/>
    <w:basedOn w:val="DefaultParagraphFont"/>
    <w:link w:val="Heading2"/>
    <w:uiPriority w:val="99"/>
    <w:locked/>
    <w:rsid w:val="003D76D9"/>
    <w:rPr>
      <w:rFonts w:eastAsia="Times New Roman" w:cs="Times New Roman"/>
      <w:b/>
      <w:sz w:val="24"/>
      <w:u w:val="single"/>
      <w:lang w:eastAsia="it-IT"/>
    </w:rPr>
  </w:style>
  <w:style w:type="character" w:customStyle="1" w:styleId="Heading3Char">
    <w:name w:val="Heading 3 Char"/>
    <w:basedOn w:val="DefaultParagraphFont"/>
    <w:link w:val="Heading3"/>
    <w:uiPriority w:val="99"/>
    <w:locked/>
    <w:rsid w:val="003D76D9"/>
    <w:rPr>
      <w:rFonts w:eastAsia="Times New Roman" w:cs="Times New Roman"/>
      <w:b/>
      <w:sz w:val="24"/>
      <w:u w:val="single"/>
      <w:lang w:eastAsia="it-IT"/>
    </w:rPr>
  </w:style>
  <w:style w:type="character" w:customStyle="1" w:styleId="Heading4Char">
    <w:name w:val="Heading 4 Char"/>
    <w:basedOn w:val="DefaultParagraphFont"/>
    <w:link w:val="Heading4"/>
    <w:uiPriority w:val="99"/>
    <w:locked/>
    <w:rsid w:val="003D76D9"/>
    <w:rPr>
      <w:rFonts w:eastAsia="Times New Roman" w:cs="Times New Roman"/>
      <w:b/>
      <w:i/>
      <w:sz w:val="24"/>
      <w:lang w:eastAsia="it-IT"/>
    </w:rPr>
  </w:style>
  <w:style w:type="character" w:customStyle="1" w:styleId="Heading6Char">
    <w:name w:val="Heading 6 Char"/>
    <w:basedOn w:val="DefaultParagraphFont"/>
    <w:link w:val="Heading6"/>
    <w:uiPriority w:val="99"/>
    <w:locked/>
    <w:rsid w:val="003D76D9"/>
    <w:rPr>
      <w:rFonts w:eastAsia="Times New Roman" w:cs="Times New Roman"/>
      <w:b/>
      <w:sz w:val="24"/>
      <w:u w:val="single"/>
      <w:lang w:eastAsia="it-IT"/>
    </w:rPr>
  </w:style>
  <w:style w:type="character" w:customStyle="1" w:styleId="Heading8Char">
    <w:name w:val="Heading 8 Char"/>
    <w:basedOn w:val="DefaultParagraphFont"/>
    <w:link w:val="Heading8"/>
    <w:uiPriority w:val="99"/>
    <w:locked/>
    <w:rsid w:val="003D76D9"/>
    <w:rPr>
      <w:rFonts w:eastAsia="Times New Roman" w:cs="Times New Roman"/>
      <w:b/>
      <w:sz w:val="20"/>
      <w:lang w:eastAsia="it-IT"/>
    </w:rPr>
  </w:style>
  <w:style w:type="character" w:customStyle="1" w:styleId="Heading9Char">
    <w:name w:val="Heading 9 Char"/>
    <w:basedOn w:val="DefaultParagraphFont"/>
    <w:link w:val="Heading9"/>
    <w:uiPriority w:val="99"/>
    <w:locked/>
    <w:rsid w:val="003D76D9"/>
    <w:rPr>
      <w:rFonts w:eastAsia="Times New Roman" w:cs="Times New Roman"/>
      <w:b/>
      <w:sz w:val="24"/>
      <w:u w:val="single"/>
      <w:lang w:eastAsia="it-IT"/>
    </w:rPr>
  </w:style>
  <w:style w:type="paragraph" w:styleId="FootnoteText">
    <w:name w:val="footnote text"/>
    <w:aliases w:val="Testo nota a piè di pagina Carattere1 Carattere,Testo nota a piè di pagina Carattere Carattere Carattere,Testo nota a piè di pagina Carattere1 Carattere Carattere Carattere,Carattere"/>
    <w:basedOn w:val="Normal"/>
    <w:link w:val="FootnoteTextChar"/>
    <w:uiPriority w:val="99"/>
    <w:rsid w:val="003D76D9"/>
    <w:pPr>
      <w:widowControl w:val="0"/>
      <w:tabs>
        <w:tab w:val="left" w:pos="567"/>
      </w:tabs>
      <w:overflowPunct w:val="0"/>
      <w:autoSpaceDE w:val="0"/>
      <w:autoSpaceDN w:val="0"/>
      <w:adjustRightInd w:val="0"/>
      <w:spacing w:after="120"/>
      <w:ind w:left="567" w:hanging="567"/>
      <w:jc w:val="both"/>
    </w:pPr>
    <w:rPr>
      <w:rFonts w:ascii="Arial" w:hAnsi="Arial"/>
      <w:sz w:val="20"/>
      <w:szCs w:val="20"/>
    </w:rPr>
  </w:style>
  <w:style w:type="character" w:customStyle="1" w:styleId="FootnoteTextChar">
    <w:name w:val="Footnote Text Char"/>
    <w:aliases w:val="Testo nota a piè di pagina Carattere1 Carattere Char,Testo nota a piè di pagina Carattere Carattere Carattere Char,Testo nota a piè di pagina Carattere1 Carattere Carattere Carattere Char,Carattere Char"/>
    <w:basedOn w:val="DefaultParagraphFont"/>
    <w:link w:val="FootnoteText"/>
    <w:uiPriority w:val="99"/>
    <w:locked/>
    <w:rsid w:val="003D76D9"/>
    <w:rPr>
      <w:rFonts w:eastAsia="Times New Roman" w:cs="Times New Roman"/>
      <w:sz w:val="20"/>
      <w:lang w:eastAsia="it-IT"/>
    </w:rPr>
  </w:style>
  <w:style w:type="character" w:customStyle="1" w:styleId="TestonotaapidipaginaCarattere">
    <w:name w:val="Testo nota a piè di pagina Carattere"/>
    <w:uiPriority w:val="99"/>
    <w:semiHidden/>
    <w:rsid w:val="003D76D9"/>
    <w:rPr>
      <w:rFonts w:ascii="Times New Roman" w:hAnsi="Times New Roman"/>
      <w:sz w:val="24"/>
      <w:lang w:eastAsia="it-IT"/>
    </w:rPr>
  </w:style>
  <w:style w:type="paragraph" w:styleId="Header">
    <w:name w:val="header"/>
    <w:basedOn w:val="Normal"/>
    <w:link w:val="HeaderChar"/>
    <w:uiPriority w:val="99"/>
    <w:rsid w:val="003D76D9"/>
    <w:pPr>
      <w:widowControl w:val="0"/>
      <w:tabs>
        <w:tab w:val="center" w:pos="4819"/>
        <w:tab w:val="right" w:pos="9638"/>
      </w:tabs>
      <w:overflowPunct w:val="0"/>
      <w:autoSpaceDE w:val="0"/>
      <w:autoSpaceDN w:val="0"/>
      <w:adjustRightInd w:val="0"/>
      <w:spacing w:after="120"/>
      <w:jc w:val="both"/>
    </w:pPr>
    <w:rPr>
      <w:rFonts w:ascii="Arial" w:hAnsi="Arial"/>
      <w:szCs w:val="20"/>
    </w:rPr>
  </w:style>
  <w:style w:type="character" w:customStyle="1" w:styleId="HeaderChar">
    <w:name w:val="Header Char"/>
    <w:basedOn w:val="DefaultParagraphFont"/>
    <w:link w:val="Header"/>
    <w:uiPriority w:val="99"/>
    <w:locked/>
    <w:rsid w:val="003D76D9"/>
    <w:rPr>
      <w:rFonts w:eastAsia="Times New Roman" w:cs="Times New Roman"/>
      <w:sz w:val="20"/>
      <w:lang w:eastAsia="it-IT"/>
    </w:rPr>
  </w:style>
  <w:style w:type="paragraph" w:styleId="Footer">
    <w:name w:val="footer"/>
    <w:basedOn w:val="Normal"/>
    <w:link w:val="FooterChar"/>
    <w:uiPriority w:val="99"/>
    <w:rsid w:val="003D76D9"/>
    <w:pPr>
      <w:widowControl w:val="0"/>
      <w:pBdr>
        <w:top w:val="single" w:sz="6" w:space="1" w:color="auto"/>
      </w:pBdr>
      <w:overflowPunct w:val="0"/>
      <w:autoSpaceDE w:val="0"/>
      <w:autoSpaceDN w:val="0"/>
      <w:adjustRightInd w:val="0"/>
      <w:spacing w:after="120"/>
      <w:jc w:val="center"/>
    </w:pPr>
    <w:rPr>
      <w:rFonts w:ascii="Arial" w:hAnsi="Arial"/>
      <w:sz w:val="18"/>
      <w:szCs w:val="20"/>
    </w:rPr>
  </w:style>
  <w:style w:type="character" w:customStyle="1" w:styleId="FooterChar">
    <w:name w:val="Footer Char"/>
    <w:basedOn w:val="DefaultParagraphFont"/>
    <w:link w:val="Footer"/>
    <w:uiPriority w:val="99"/>
    <w:locked/>
    <w:rsid w:val="003D76D9"/>
    <w:rPr>
      <w:rFonts w:eastAsia="Times New Roman" w:cs="Times New Roman"/>
      <w:sz w:val="20"/>
      <w:lang w:eastAsia="it-IT"/>
    </w:rPr>
  </w:style>
  <w:style w:type="paragraph" w:styleId="Title">
    <w:name w:val="Title"/>
    <w:basedOn w:val="Normal"/>
    <w:link w:val="TitleChar"/>
    <w:uiPriority w:val="99"/>
    <w:qFormat/>
    <w:rsid w:val="003D76D9"/>
    <w:pPr>
      <w:spacing w:after="360"/>
      <w:jc w:val="center"/>
    </w:pPr>
    <w:rPr>
      <w:rFonts w:ascii="Arial" w:hAnsi="Arial"/>
      <w:b/>
      <w:i/>
      <w:sz w:val="36"/>
    </w:rPr>
  </w:style>
  <w:style w:type="character" w:customStyle="1" w:styleId="TitleChar">
    <w:name w:val="Title Char"/>
    <w:basedOn w:val="DefaultParagraphFont"/>
    <w:link w:val="Title"/>
    <w:uiPriority w:val="99"/>
    <w:locked/>
    <w:rsid w:val="003D76D9"/>
    <w:rPr>
      <w:rFonts w:eastAsia="Times New Roman" w:cs="Times New Roman"/>
      <w:b/>
      <w:i/>
      <w:sz w:val="24"/>
      <w:lang w:eastAsia="it-IT"/>
    </w:rPr>
  </w:style>
  <w:style w:type="paragraph" w:styleId="BodyText">
    <w:name w:val="Body Text"/>
    <w:basedOn w:val="Normal"/>
    <w:link w:val="BodyTextChar"/>
    <w:uiPriority w:val="99"/>
    <w:rsid w:val="003D76D9"/>
    <w:pPr>
      <w:widowControl w:val="0"/>
      <w:overflowPunct w:val="0"/>
      <w:autoSpaceDE w:val="0"/>
      <w:autoSpaceDN w:val="0"/>
      <w:adjustRightInd w:val="0"/>
      <w:spacing w:after="120"/>
      <w:jc w:val="both"/>
    </w:pPr>
    <w:rPr>
      <w:rFonts w:ascii="Arial" w:hAnsi="Arial"/>
      <w:kern w:val="28"/>
      <w:szCs w:val="20"/>
    </w:rPr>
  </w:style>
  <w:style w:type="character" w:customStyle="1" w:styleId="BodyTextChar">
    <w:name w:val="Body Text Char"/>
    <w:basedOn w:val="DefaultParagraphFont"/>
    <w:link w:val="BodyText"/>
    <w:uiPriority w:val="99"/>
    <w:locked/>
    <w:rsid w:val="003D76D9"/>
    <w:rPr>
      <w:rFonts w:eastAsia="Times New Roman" w:cs="Times New Roman"/>
      <w:kern w:val="28"/>
      <w:sz w:val="20"/>
      <w:lang w:eastAsia="it-IT"/>
    </w:rPr>
  </w:style>
  <w:style w:type="paragraph" w:styleId="BodyTextIndent">
    <w:name w:val="Body Text Indent"/>
    <w:basedOn w:val="Normal"/>
    <w:link w:val="BodyTextIndentChar"/>
    <w:uiPriority w:val="99"/>
    <w:rsid w:val="003D76D9"/>
    <w:pPr>
      <w:snapToGrid w:val="0"/>
      <w:spacing w:before="110" w:line="360" w:lineRule="auto"/>
      <w:ind w:firstLine="426"/>
      <w:jc w:val="both"/>
    </w:pPr>
    <w:rPr>
      <w:szCs w:val="20"/>
    </w:rPr>
  </w:style>
  <w:style w:type="character" w:customStyle="1" w:styleId="BodyTextIndentChar">
    <w:name w:val="Body Text Indent Char"/>
    <w:basedOn w:val="DefaultParagraphFont"/>
    <w:link w:val="BodyTextIndent"/>
    <w:uiPriority w:val="99"/>
    <w:locked/>
    <w:rsid w:val="003D76D9"/>
    <w:rPr>
      <w:rFonts w:ascii="Times New Roman" w:hAnsi="Times New Roman" w:cs="Times New Roman"/>
      <w:sz w:val="20"/>
      <w:lang w:eastAsia="it-IT"/>
    </w:rPr>
  </w:style>
  <w:style w:type="paragraph" w:styleId="BodyText2">
    <w:name w:val="Body Text 2"/>
    <w:basedOn w:val="Normal"/>
    <w:link w:val="BodyText2Char"/>
    <w:uiPriority w:val="99"/>
    <w:rsid w:val="003D76D9"/>
    <w:pPr>
      <w:tabs>
        <w:tab w:val="left" w:pos="426"/>
      </w:tabs>
    </w:pPr>
    <w:rPr>
      <w:rFonts w:ascii="Arial" w:hAnsi="Arial"/>
      <w:sz w:val="22"/>
    </w:rPr>
  </w:style>
  <w:style w:type="character" w:customStyle="1" w:styleId="BodyText2Char">
    <w:name w:val="Body Text 2 Char"/>
    <w:basedOn w:val="DefaultParagraphFont"/>
    <w:link w:val="BodyText2"/>
    <w:uiPriority w:val="99"/>
    <w:locked/>
    <w:rsid w:val="003D76D9"/>
    <w:rPr>
      <w:rFonts w:eastAsia="Times New Roman" w:cs="Times New Roman"/>
      <w:sz w:val="24"/>
      <w:lang w:eastAsia="it-IT"/>
    </w:rPr>
  </w:style>
  <w:style w:type="paragraph" w:styleId="BodyText3">
    <w:name w:val="Body Text 3"/>
    <w:basedOn w:val="Normal"/>
    <w:link w:val="BodyText3Char"/>
    <w:uiPriority w:val="99"/>
    <w:rsid w:val="003D76D9"/>
    <w:pPr>
      <w:widowControl w:val="0"/>
      <w:overflowPunct w:val="0"/>
      <w:autoSpaceDE w:val="0"/>
      <w:autoSpaceDN w:val="0"/>
      <w:adjustRightInd w:val="0"/>
      <w:spacing w:after="120"/>
      <w:jc w:val="both"/>
    </w:pPr>
    <w:rPr>
      <w:rFonts w:ascii="Arial" w:hAnsi="Arial"/>
      <w:sz w:val="18"/>
      <w:szCs w:val="18"/>
    </w:rPr>
  </w:style>
  <w:style w:type="character" w:customStyle="1" w:styleId="BodyText3Char">
    <w:name w:val="Body Text 3 Char"/>
    <w:basedOn w:val="DefaultParagraphFont"/>
    <w:link w:val="BodyText3"/>
    <w:uiPriority w:val="99"/>
    <w:locked/>
    <w:rsid w:val="003D76D9"/>
    <w:rPr>
      <w:rFonts w:eastAsia="Times New Roman" w:cs="Times New Roman"/>
      <w:sz w:val="18"/>
      <w:lang w:eastAsia="it-IT"/>
    </w:rPr>
  </w:style>
  <w:style w:type="paragraph" w:styleId="BodyTextIndent2">
    <w:name w:val="Body Text Indent 2"/>
    <w:basedOn w:val="Normal"/>
    <w:link w:val="BodyTextIndent2Char"/>
    <w:uiPriority w:val="99"/>
    <w:rsid w:val="003D76D9"/>
    <w:pPr>
      <w:spacing w:line="360" w:lineRule="auto"/>
      <w:ind w:left="360"/>
    </w:pPr>
    <w:rPr>
      <w:rFonts w:ascii="Arial" w:hAnsi="Arial"/>
      <w:sz w:val="22"/>
      <w:szCs w:val="18"/>
    </w:rPr>
  </w:style>
  <w:style w:type="character" w:customStyle="1" w:styleId="BodyTextIndent2Char">
    <w:name w:val="Body Text Indent 2 Char"/>
    <w:basedOn w:val="DefaultParagraphFont"/>
    <w:link w:val="BodyTextIndent2"/>
    <w:uiPriority w:val="99"/>
    <w:locked/>
    <w:rsid w:val="003D76D9"/>
    <w:rPr>
      <w:rFonts w:eastAsia="Times New Roman" w:cs="Times New Roman"/>
      <w:sz w:val="18"/>
      <w:lang w:eastAsia="it-IT"/>
    </w:rPr>
  </w:style>
  <w:style w:type="paragraph" w:customStyle="1" w:styleId="CPVC">
    <w:name w:val="CPV_C"/>
    <w:uiPriority w:val="99"/>
    <w:rsid w:val="003D76D9"/>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sz w:val="20"/>
      <w:szCs w:val="20"/>
    </w:rPr>
  </w:style>
  <w:style w:type="paragraph" w:customStyle="1" w:styleId="CPVCcvo">
    <w:name w:val="CPV_Ccvo"/>
    <w:uiPriority w:val="99"/>
    <w:rsid w:val="003D76D9"/>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i/>
      <w:iCs/>
      <w:sz w:val="20"/>
      <w:szCs w:val="20"/>
    </w:rPr>
  </w:style>
  <w:style w:type="paragraph" w:customStyle="1" w:styleId="LIV2">
    <w:name w:val="LIV2"/>
    <w:uiPriority w:val="99"/>
    <w:rsid w:val="003D76D9"/>
    <w:pPr>
      <w:widowControl w:val="0"/>
      <w:tabs>
        <w:tab w:val="left" w:pos="0"/>
        <w:tab w:val="left" w:pos="1418"/>
        <w:tab w:val="left" w:pos="2835"/>
        <w:tab w:val="left" w:pos="4252"/>
      </w:tabs>
      <w:autoSpaceDE w:val="0"/>
      <w:autoSpaceDN w:val="0"/>
      <w:adjustRightInd w:val="0"/>
      <w:spacing w:before="444" w:after="171" w:line="12" w:lineRule="atLeast"/>
      <w:jc w:val="both"/>
    </w:pPr>
    <w:rPr>
      <w:rFonts w:ascii="UniversExBlkExt" w:hAnsi="UniversExBlkExt" w:cs="UniversExBlkExt"/>
      <w:b/>
      <w:bCs/>
      <w:sz w:val="16"/>
      <w:szCs w:val="16"/>
    </w:rPr>
  </w:style>
  <w:style w:type="paragraph" w:customStyle="1" w:styleId="cpv">
    <w:name w:val="cpv"/>
    <w:uiPriority w:val="99"/>
    <w:rsid w:val="003D76D9"/>
    <w:pPr>
      <w:widowControl w:val="0"/>
      <w:tabs>
        <w:tab w:val="left" w:pos="0"/>
        <w:tab w:val="left" w:pos="1418"/>
        <w:tab w:val="left" w:pos="2835"/>
        <w:tab w:val="left" w:pos="4252"/>
      </w:tabs>
      <w:autoSpaceDE w:val="0"/>
      <w:autoSpaceDN w:val="0"/>
      <w:adjustRightInd w:val="0"/>
      <w:spacing w:before="175" w:line="25" w:lineRule="atLeast"/>
      <w:jc w:val="both"/>
    </w:pPr>
    <w:rPr>
      <w:rFonts w:ascii="ItcCenturyLight" w:hAnsi="ItcCenturyLight" w:cs="ItcCenturyLight"/>
      <w:sz w:val="20"/>
      <w:szCs w:val="20"/>
    </w:rPr>
  </w:style>
  <w:style w:type="paragraph" w:customStyle="1" w:styleId="liv1unita">
    <w:name w:val="liv1_unita"/>
    <w:uiPriority w:val="99"/>
    <w:rsid w:val="003D76D9"/>
    <w:pPr>
      <w:widowControl w:val="0"/>
      <w:tabs>
        <w:tab w:val="left" w:pos="469"/>
        <w:tab w:val="left" w:pos="1887"/>
        <w:tab w:val="left" w:pos="3304"/>
        <w:tab w:val="left" w:pos="4721"/>
      </w:tabs>
      <w:autoSpaceDE w:val="0"/>
      <w:autoSpaceDN w:val="0"/>
      <w:adjustRightInd w:val="0"/>
      <w:spacing w:before="489" w:after="85" w:line="12" w:lineRule="atLeast"/>
      <w:ind w:left="469" w:hanging="469"/>
      <w:jc w:val="both"/>
    </w:pPr>
    <w:rPr>
      <w:rFonts w:ascii="UniversExBlkExt" w:hAnsi="UniversExBlkExt" w:cs="UniversExBlkExt"/>
      <w:b/>
      <w:bCs/>
      <w:sz w:val="16"/>
      <w:szCs w:val="16"/>
    </w:rPr>
  </w:style>
  <w:style w:type="paragraph" w:customStyle="1" w:styleId="sottocpv1">
    <w:name w:val="sottocpv1"/>
    <w:uiPriority w:val="99"/>
    <w:rsid w:val="003D76D9"/>
    <w:pPr>
      <w:widowControl w:val="0"/>
      <w:tabs>
        <w:tab w:val="left" w:pos="341"/>
        <w:tab w:val="left" w:pos="1759"/>
        <w:tab w:val="left" w:pos="3176"/>
        <w:tab w:val="left" w:pos="4593"/>
      </w:tabs>
      <w:autoSpaceDE w:val="0"/>
      <w:autoSpaceDN w:val="0"/>
      <w:adjustRightInd w:val="0"/>
      <w:spacing w:before="175" w:line="25" w:lineRule="atLeast"/>
      <w:ind w:left="341" w:hanging="341"/>
      <w:jc w:val="both"/>
    </w:pPr>
    <w:rPr>
      <w:rFonts w:ascii="ItcCenturyLight" w:hAnsi="ItcCenturyLight" w:cs="ItcCenturyLight"/>
      <w:sz w:val="20"/>
      <w:szCs w:val="20"/>
    </w:rPr>
  </w:style>
  <w:style w:type="paragraph" w:customStyle="1" w:styleId="Corpodeltesto21">
    <w:name w:val="Corpo del testo 21"/>
    <w:basedOn w:val="Normal"/>
    <w:uiPriority w:val="99"/>
    <w:rsid w:val="003D76D9"/>
    <w:pPr>
      <w:widowControl w:val="0"/>
      <w:overflowPunct w:val="0"/>
      <w:autoSpaceDE w:val="0"/>
      <w:autoSpaceDN w:val="0"/>
      <w:adjustRightInd w:val="0"/>
      <w:spacing w:after="120"/>
      <w:jc w:val="both"/>
    </w:pPr>
    <w:rPr>
      <w:rFonts w:ascii="Arial" w:hAnsi="Arial"/>
      <w:b/>
      <w:i/>
      <w:szCs w:val="20"/>
    </w:rPr>
  </w:style>
  <w:style w:type="paragraph" w:customStyle="1" w:styleId="tabella">
    <w:name w:val="tabella"/>
    <w:basedOn w:val="Heading3"/>
    <w:uiPriority w:val="99"/>
    <w:rsid w:val="003D76D9"/>
    <w:pPr>
      <w:keepNext/>
    </w:pPr>
    <w:rPr>
      <w:b w:val="0"/>
      <w:i/>
      <w:sz w:val="18"/>
      <w:szCs w:val="18"/>
    </w:rPr>
  </w:style>
  <w:style w:type="paragraph" w:customStyle="1" w:styleId="tit2-circ">
    <w:name w:val="tit2-circ"/>
    <w:basedOn w:val="Normal"/>
    <w:uiPriority w:val="99"/>
    <w:rsid w:val="003D76D9"/>
    <w:pPr>
      <w:keepNext/>
      <w:spacing w:before="360" w:after="100"/>
      <w:ind w:right="108"/>
      <w:jc w:val="both"/>
    </w:pPr>
    <w:rPr>
      <w:rFonts w:ascii="Futura" w:hAnsi="Futura"/>
      <w:b/>
      <w:caps/>
      <w:sz w:val="20"/>
      <w:szCs w:val="20"/>
    </w:rPr>
  </w:style>
  <w:style w:type="character" w:styleId="FootnoteReference">
    <w:name w:val="footnote reference"/>
    <w:basedOn w:val="DefaultParagraphFont"/>
    <w:uiPriority w:val="99"/>
    <w:rsid w:val="003D76D9"/>
    <w:rPr>
      <w:rFonts w:cs="Times New Roman"/>
      <w:vertAlign w:val="superscript"/>
    </w:rPr>
  </w:style>
  <w:style w:type="paragraph" w:styleId="DocumentMap">
    <w:name w:val="Document Map"/>
    <w:basedOn w:val="Normal"/>
    <w:link w:val="DocumentMapChar"/>
    <w:uiPriority w:val="99"/>
    <w:semiHidden/>
    <w:rsid w:val="003D76D9"/>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3D76D9"/>
    <w:rPr>
      <w:rFonts w:ascii="Tahoma" w:hAnsi="Tahoma" w:cs="Times New Roman"/>
      <w:sz w:val="20"/>
      <w:shd w:val="clear" w:color="auto" w:fill="000080"/>
      <w:lang w:eastAsia="it-IT"/>
    </w:rPr>
  </w:style>
  <w:style w:type="paragraph" w:styleId="BalloonText">
    <w:name w:val="Balloon Text"/>
    <w:basedOn w:val="Normal"/>
    <w:link w:val="BalloonTextChar"/>
    <w:uiPriority w:val="99"/>
    <w:semiHidden/>
    <w:rsid w:val="003D76D9"/>
    <w:rPr>
      <w:rFonts w:ascii="Tahoma" w:hAnsi="Tahoma"/>
      <w:sz w:val="16"/>
      <w:szCs w:val="16"/>
    </w:rPr>
  </w:style>
  <w:style w:type="character" w:customStyle="1" w:styleId="BalloonTextChar">
    <w:name w:val="Balloon Text Char"/>
    <w:basedOn w:val="DefaultParagraphFont"/>
    <w:link w:val="BalloonText"/>
    <w:uiPriority w:val="99"/>
    <w:semiHidden/>
    <w:locked/>
    <w:rsid w:val="003D76D9"/>
    <w:rPr>
      <w:rFonts w:ascii="Tahoma" w:hAnsi="Tahoma" w:cs="Times New Roman"/>
      <w:sz w:val="16"/>
      <w:lang w:eastAsia="it-IT"/>
    </w:rPr>
  </w:style>
  <w:style w:type="character" w:customStyle="1" w:styleId="CarattereCarattere">
    <w:name w:val="Carattere Carattere"/>
    <w:uiPriority w:val="99"/>
    <w:rsid w:val="003D76D9"/>
    <w:rPr>
      <w:rFonts w:ascii="Arial" w:hAnsi="Arial"/>
      <w:kern w:val="28"/>
      <w:sz w:val="24"/>
    </w:rPr>
  </w:style>
  <w:style w:type="character" w:styleId="PageNumber">
    <w:name w:val="page number"/>
    <w:basedOn w:val="DefaultParagraphFont"/>
    <w:uiPriority w:val="99"/>
    <w:rsid w:val="003D76D9"/>
    <w:rPr>
      <w:rFonts w:cs="Times New Roman"/>
    </w:rPr>
  </w:style>
  <w:style w:type="character" w:styleId="CommentReference">
    <w:name w:val="annotation reference"/>
    <w:basedOn w:val="DefaultParagraphFont"/>
    <w:uiPriority w:val="99"/>
    <w:semiHidden/>
    <w:rsid w:val="003D76D9"/>
    <w:rPr>
      <w:rFonts w:cs="Times New Roman"/>
      <w:sz w:val="16"/>
    </w:rPr>
  </w:style>
  <w:style w:type="paragraph" w:styleId="CommentText">
    <w:name w:val="annotation text"/>
    <w:basedOn w:val="Normal"/>
    <w:link w:val="CommentTextChar"/>
    <w:uiPriority w:val="99"/>
    <w:semiHidden/>
    <w:rsid w:val="003D76D9"/>
    <w:rPr>
      <w:sz w:val="20"/>
      <w:szCs w:val="20"/>
    </w:rPr>
  </w:style>
  <w:style w:type="character" w:customStyle="1" w:styleId="CommentTextChar">
    <w:name w:val="Comment Text Char"/>
    <w:basedOn w:val="DefaultParagraphFont"/>
    <w:link w:val="CommentText"/>
    <w:uiPriority w:val="99"/>
    <w:semiHidden/>
    <w:locked/>
    <w:rsid w:val="003D76D9"/>
    <w:rPr>
      <w:rFonts w:ascii="Times New Roman" w:hAnsi="Times New Roman" w:cs="Times New Roman"/>
      <w:sz w:val="20"/>
      <w:lang w:eastAsia="it-IT"/>
    </w:rPr>
  </w:style>
  <w:style w:type="paragraph" w:styleId="CommentSubject">
    <w:name w:val="annotation subject"/>
    <w:basedOn w:val="CommentText"/>
    <w:next w:val="CommentText"/>
    <w:link w:val="CommentSubjectChar"/>
    <w:uiPriority w:val="99"/>
    <w:semiHidden/>
    <w:rsid w:val="003D76D9"/>
    <w:rPr>
      <w:b/>
      <w:bCs/>
    </w:rPr>
  </w:style>
  <w:style w:type="character" w:customStyle="1" w:styleId="CommentSubjectChar">
    <w:name w:val="Comment Subject Char"/>
    <w:basedOn w:val="CommentTextChar"/>
    <w:link w:val="CommentSubject"/>
    <w:uiPriority w:val="99"/>
    <w:semiHidden/>
    <w:locked/>
    <w:rsid w:val="003D76D9"/>
    <w:rPr>
      <w:b/>
    </w:rPr>
  </w:style>
  <w:style w:type="paragraph" w:customStyle="1" w:styleId="Paragrafoelenco1">
    <w:name w:val="Paragrafo elenco1"/>
    <w:basedOn w:val="Normal"/>
    <w:uiPriority w:val="99"/>
    <w:rsid w:val="003D76D9"/>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3D76D9"/>
    <w:pPr>
      <w:spacing w:before="100" w:beforeAutospacing="1" w:after="100" w:afterAutospacing="1"/>
    </w:pPr>
  </w:style>
  <w:style w:type="character" w:styleId="Emphasis">
    <w:name w:val="Emphasis"/>
    <w:basedOn w:val="DefaultParagraphFont"/>
    <w:uiPriority w:val="99"/>
    <w:qFormat/>
    <w:rsid w:val="003D76D9"/>
    <w:rPr>
      <w:rFonts w:cs="Times New Roman"/>
      <w:i/>
    </w:rPr>
  </w:style>
  <w:style w:type="character" w:styleId="Hyperlink">
    <w:name w:val="Hyperlink"/>
    <w:basedOn w:val="DefaultParagraphFont"/>
    <w:uiPriority w:val="99"/>
    <w:rsid w:val="003D76D9"/>
    <w:rPr>
      <w:rFonts w:cs="Times New Roman"/>
      <w:color w:val="0000FF"/>
      <w:u w:val="single"/>
    </w:rPr>
  </w:style>
  <w:style w:type="character" w:styleId="FollowedHyperlink">
    <w:name w:val="FollowedHyperlink"/>
    <w:basedOn w:val="DefaultParagraphFont"/>
    <w:uiPriority w:val="99"/>
    <w:rsid w:val="003D76D9"/>
    <w:rPr>
      <w:rFonts w:cs="Times New Roman"/>
      <w:color w:val="800080"/>
      <w:u w:val="single"/>
    </w:rPr>
  </w:style>
  <w:style w:type="table" w:styleId="TableGrid">
    <w:name w:val="Table Grid"/>
    <w:basedOn w:val="TableNormal"/>
    <w:uiPriority w:val="99"/>
    <w:rsid w:val="003D76D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uiPriority w:val="99"/>
    <w:rsid w:val="003D76D9"/>
    <w:pPr>
      <w:widowControl w:val="0"/>
      <w:autoSpaceDE w:val="0"/>
      <w:autoSpaceDN w:val="0"/>
      <w:adjustRightInd w:val="0"/>
    </w:pPr>
    <w:rPr>
      <w:rFonts w:ascii="Thorndale AMT" w:hAnsi="Thorndale AMT" w:cs="Albany AMT"/>
    </w:rPr>
  </w:style>
  <w:style w:type="character" w:customStyle="1" w:styleId="linkneltesto">
    <w:name w:val="link_nel_testo"/>
    <w:uiPriority w:val="99"/>
    <w:rsid w:val="003D76D9"/>
    <w:rPr>
      <w:i/>
    </w:rPr>
  </w:style>
  <w:style w:type="paragraph" w:customStyle="1" w:styleId="provvr0">
    <w:name w:val="provv_r0"/>
    <w:basedOn w:val="Normal"/>
    <w:uiPriority w:val="99"/>
    <w:rsid w:val="003D76D9"/>
    <w:pPr>
      <w:spacing w:before="100" w:beforeAutospacing="1" w:after="100" w:afterAutospacing="1"/>
      <w:jc w:val="both"/>
    </w:pPr>
  </w:style>
  <w:style w:type="character" w:customStyle="1" w:styleId="provvnumcomma">
    <w:name w:val="provv_numcomma"/>
    <w:uiPriority w:val="99"/>
    <w:rsid w:val="003D76D9"/>
  </w:style>
  <w:style w:type="character" w:styleId="Strong">
    <w:name w:val="Strong"/>
    <w:basedOn w:val="DefaultParagraphFont"/>
    <w:uiPriority w:val="99"/>
    <w:qFormat/>
    <w:rsid w:val="003D76D9"/>
    <w:rPr>
      <w:rFonts w:cs="Times New Roman"/>
      <w:b/>
    </w:rPr>
  </w:style>
  <w:style w:type="paragraph" w:customStyle="1" w:styleId="Default">
    <w:name w:val="Default"/>
    <w:uiPriority w:val="99"/>
    <w:rsid w:val="003D76D9"/>
    <w:pPr>
      <w:widowControl w:val="0"/>
      <w:suppressAutoHyphens/>
    </w:pPr>
    <w:rPr>
      <w:rFonts w:ascii="Times New Roman" w:hAnsi="Times New Roman"/>
      <w:kern w:val="1"/>
      <w:lang w:eastAsia="ar-SA"/>
    </w:rPr>
  </w:style>
  <w:style w:type="paragraph" w:styleId="TOC1">
    <w:name w:val="toc 1"/>
    <w:basedOn w:val="Normal"/>
    <w:next w:val="Normal"/>
    <w:autoRedefine/>
    <w:uiPriority w:val="99"/>
    <w:rsid w:val="003D76D9"/>
  </w:style>
  <w:style w:type="paragraph" w:styleId="TOC2">
    <w:name w:val="toc 2"/>
    <w:basedOn w:val="Normal"/>
    <w:next w:val="Normal"/>
    <w:autoRedefine/>
    <w:uiPriority w:val="99"/>
    <w:rsid w:val="00632A65"/>
    <w:pPr>
      <w:tabs>
        <w:tab w:val="right" w:leader="dot" w:pos="9718"/>
      </w:tabs>
      <w:spacing w:after="80"/>
    </w:pPr>
  </w:style>
  <w:style w:type="paragraph" w:styleId="Index1">
    <w:name w:val="index 1"/>
    <w:basedOn w:val="Normal"/>
    <w:next w:val="Normal"/>
    <w:autoRedefine/>
    <w:uiPriority w:val="99"/>
    <w:rsid w:val="003D76D9"/>
    <w:pPr>
      <w:ind w:left="240" w:hanging="240"/>
    </w:pPr>
  </w:style>
  <w:style w:type="paragraph" w:styleId="Index2">
    <w:name w:val="index 2"/>
    <w:basedOn w:val="Normal"/>
    <w:next w:val="Normal"/>
    <w:autoRedefine/>
    <w:uiPriority w:val="99"/>
    <w:rsid w:val="003D76D9"/>
    <w:pPr>
      <w:ind w:left="480" w:hanging="240"/>
    </w:pPr>
  </w:style>
  <w:style w:type="character" w:customStyle="1" w:styleId="apple-converted-space">
    <w:name w:val="apple-converted-space"/>
    <w:uiPriority w:val="99"/>
    <w:rsid w:val="003D76D9"/>
  </w:style>
  <w:style w:type="paragraph" w:styleId="HTMLPreformatted">
    <w:name w:val="HTML Preformatted"/>
    <w:basedOn w:val="Normal"/>
    <w:link w:val="HTMLPreformattedChar"/>
    <w:uiPriority w:val="99"/>
    <w:rsid w:val="003D7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3D76D9"/>
    <w:rPr>
      <w:rFonts w:ascii="Courier New" w:hAnsi="Courier New" w:cs="Times New Roman"/>
      <w:sz w:val="20"/>
      <w:lang w:eastAsia="it-IT"/>
    </w:rPr>
  </w:style>
  <w:style w:type="paragraph" w:styleId="Caption">
    <w:name w:val="caption"/>
    <w:basedOn w:val="Normal"/>
    <w:next w:val="Normal"/>
    <w:uiPriority w:val="99"/>
    <w:qFormat/>
    <w:rsid w:val="003D76D9"/>
    <w:rPr>
      <w:b/>
      <w:bCs/>
      <w:sz w:val="20"/>
      <w:szCs w:val="20"/>
    </w:rPr>
  </w:style>
  <w:style w:type="character" w:customStyle="1" w:styleId="navilast">
    <w:name w:val="navi_last"/>
    <w:uiPriority w:val="99"/>
    <w:rsid w:val="003D76D9"/>
  </w:style>
  <w:style w:type="character" w:customStyle="1" w:styleId="lilinkmenulista">
    <w:name w:val="lilinkmenulista"/>
    <w:uiPriority w:val="99"/>
    <w:rsid w:val="003D76D9"/>
  </w:style>
  <w:style w:type="paragraph" w:customStyle="1" w:styleId="Paragrafoelenco4">
    <w:name w:val="Paragrafo elenco4"/>
    <w:basedOn w:val="Normal"/>
    <w:uiPriority w:val="99"/>
    <w:rsid w:val="003D76D9"/>
    <w:pPr>
      <w:ind w:left="720"/>
      <w:contextualSpacing/>
      <w:jc w:val="both"/>
    </w:pPr>
  </w:style>
  <w:style w:type="paragraph" w:customStyle="1" w:styleId="BodyText21">
    <w:name w:val="Body Text 21"/>
    <w:basedOn w:val="Normal"/>
    <w:uiPriority w:val="99"/>
    <w:rsid w:val="003D76D9"/>
    <w:pPr>
      <w:widowControl w:val="0"/>
      <w:overflowPunct w:val="0"/>
      <w:autoSpaceDE w:val="0"/>
      <w:autoSpaceDN w:val="0"/>
      <w:adjustRightInd w:val="0"/>
      <w:spacing w:after="120"/>
      <w:jc w:val="both"/>
    </w:pPr>
    <w:rPr>
      <w:rFonts w:ascii="Arial" w:hAnsi="Arial"/>
      <w:b/>
      <w:i/>
      <w:szCs w:val="20"/>
    </w:rPr>
  </w:style>
  <w:style w:type="character" w:customStyle="1" w:styleId="provvrubrica">
    <w:name w:val="provv_rubrica"/>
    <w:uiPriority w:val="99"/>
    <w:rsid w:val="003D76D9"/>
  </w:style>
  <w:style w:type="paragraph" w:styleId="Subtitle">
    <w:name w:val="Subtitle"/>
    <w:basedOn w:val="Normal"/>
    <w:next w:val="Normal"/>
    <w:link w:val="SubtitleChar"/>
    <w:uiPriority w:val="99"/>
    <w:qFormat/>
    <w:rsid w:val="003D76D9"/>
    <w:pPr>
      <w:spacing w:after="60"/>
      <w:jc w:val="center"/>
      <w:outlineLvl w:val="1"/>
    </w:pPr>
    <w:rPr>
      <w:rFonts w:ascii="Cambria" w:eastAsia="MS Gothic" w:hAnsi="Cambria"/>
    </w:rPr>
  </w:style>
  <w:style w:type="character" w:customStyle="1" w:styleId="SubtitleChar">
    <w:name w:val="Subtitle Char"/>
    <w:basedOn w:val="DefaultParagraphFont"/>
    <w:link w:val="Subtitle"/>
    <w:uiPriority w:val="99"/>
    <w:locked/>
    <w:rsid w:val="003D76D9"/>
    <w:rPr>
      <w:rFonts w:ascii="Cambria" w:eastAsia="MS Gothic" w:hAnsi="Cambria" w:cs="Times New Roman"/>
      <w:sz w:val="24"/>
      <w:lang w:eastAsia="it-IT"/>
    </w:rPr>
  </w:style>
  <w:style w:type="character" w:customStyle="1" w:styleId="Tabellagriglia1chiara1">
    <w:name w:val="Tabella griglia 1 chiara1"/>
    <w:uiPriority w:val="99"/>
    <w:rsid w:val="003D76D9"/>
    <w:rPr>
      <w:b/>
      <w:smallCaps/>
      <w:spacing w:val="5"/>
    </w:rPr>
  </w:style>
  <w:style w:type="paragraph" w:customStyle="1" w:styleId="Grigliatab31">
    <w:name w:val="Griglia tab. 31"/>
    <w:basedOn w:val="Heading1"/>
    <w:next w:val="Normal"/>
    <w:uiPriority w:val="99"/>
    <w:semiHidden/>
    <w:rsid w:val="003D76D9"/>
    <w:pPr>
      <w:keepNext/>
      <w:keepLines/>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jc w:val="left"/>
      <w:outlineLvl w:val="9"/>
    </w:pPr>
    <w:rPr>
      <w:rFonts w:ascii="Cambria" w:eastAsia="MS Gothic" w:hAnsi="Cambria"/>
      <w:bCs/>
      <w:i w:val="0"/>
      <w:color w:val="365F91"/>
      <w:sz w:val="28"/>
      <w:szCs w:val="28"/>
    </w:rPr>
  </w:style>
  <w:style w:type="paragraph" w:styleId="TOC3">
    <w:name w:val="toc 3"/>
    <w:basedOn w:val="Normal"/>
    <w:next w:val="Normal"/>
    <w:autoRedefine/>
    <w:uiPriority w:val="99"/>
    <w:rsid w:val="003D76D9"/>
    <w:pPr>
      <w:spacing w:after="100"/>
      <w:ind w:left="480"/>
    </w:pPr>
  </w:style>
  <w:style w:type="paragraph" w:styleId="ListParagraph">
    <w:name w:val="List Paragraph"/>
    <w:basedOn w:val="Normal"/>
    <w:uiPriority w:val="99"/>
    <w:qFormat/>
    <w:rsid w:val="001D19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package" Target="embeddings/Microsoft_Excel_Worksheet333.xlsx"/><Relationship Id="rId39" Type="http://schemas.openxmlformats.org/officeDocument/2006/relationships/package" Target="embeddings/Microsoft_Excel_Worksheet999.xlsx"/><Relationship Id="rId3" Type="http://schemas.openxmlformats.org/officeDocument/2006/relationships/settings" Target="settings.xml"/><Relationship Id="rId21" Type="http://schemas.openxmlformats.org/officeDocument/2006/relationships/image" Target="media/image6.emf"/><Relationship Id="rId34" Type="http://schemas.openxmlformats.org/officeDocument/2006/relationships/image" Target="media/image12.wmf"/><Relationship Id="rId42" Type="http://schemas.openxmlformats.org/officeDocument/2006/relationships/image" Target="media/image16.emf"/><Relationship Id="rId47" Type="http://schemas.openxmlformats.org/officeDocument/2006/relationships/package" Target="embeddings/Microsoft_Excel_Worksheet111111.xlsx"/><Relationship Id="rId50" Type="http://schemas.openxmlformats.org/officeDocument/2006/relationships/header" Target="header1.xml"/><Relationship Id="rId7" Type="http://schemas.openxmlformats.org/officeDocument/2006/relationships/hyperlink" Target="http://finanzalocale.interno.it/docum/studi/varie/testounico267-2000.pdf" TargetMode="External"/><Relationship Id="rId12" Type="http://schemas.openxmlformats.org/officeDocument/2006/relationships/package" Target="embeddings/Microsoft_Excel_Worksheet111.xlsx"/><Relationship Id="rId17" Type="http://schemas.openxmlformats.org/officeDocument/2006/relationships/image" Target="media/image4.emf"/><Relationship Id="rId25" Type="http://schemas.openxmlformats.org/officeDocument/2006/relationships/image" Target="media/image8.wmf"/><Relationship Id="rId33" Type="http://schemas.openxmlformats.org/officeDocument/2006/relationships/package" Target="embeddings/Microsoft_Excel_Worksheet666.xlsx"/><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package" Target="embeddings/Microsoft_Excel_Worksheet222.xlsx"/><Relationship Id="rId20" Type="http://schemas.openxmlformats.org/officeDocument/2006/relationships/oleObject" Target="embeddings/oleObject3.bin"/><Relationship Id="rId29" Type="http://schemas.openxmlformats.org/officeDocument/2006/relationships/package" Target="embeddings/Microsoft_Excel_Worksheet444.xlsx"/><Relationship Id="rId41" Type="http://schemas.openxmlformats.org/officeDocument/2006/relationships/oleObject" Target="embeddings/oleObject6.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5.bin"/><Relationship Id="rId32" Type="http://schemas.openxmlformats.org/officeDocument/2006/relationships/image" Target="media/image11.wmf"/><Relationship Id="rId37" Type="http://schemas.openxmlformats.org/officeDocument/2006/relationships/package" Target="embeddings/Microsoft_Excel_Worksheet888.xlsx"/><Relationship Id="rId40" Type="http://schemas.openxmlformats.org/officeDocument/2006/relationships/image" Target="media/image15.emf"/><Relationship Id="rId45" Type="http://schemas.openxmlformats.org/officeDocument/2006/relationships/package" Target="embeddings/Microsoft_Excel_Worksheet101010.xlsx"/><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package" Target="embeddings/Microsoft_Excel_Worksheet121212.xlsx"/><Relationship Id="rId10" Type="http://schemas.openxmlformats.org/officeDocument/2006/relationships/hyperlink" Target="http://finanzalocale.interno.it/docum/studi/varie/testounico267-2000.pdf" TargetMode="External"/><Relationship Id="rId19" Type="http://schemas.openxmlformats.org/officeDocument/2006/relationships/image" Target="media/image5.emf"/><Relationship Id="rId31" Type="http://schemas.openxmlformats.org/officeDocument/2006/relationships/package" Target="embeddings/Microsoft_Excel_Worksheet555.xlsx"/><Relationship Id="rId44" Type="http://schemas.openxmlformats.org/officeDocument/2006/relationships/image" Target="media/image17.wmf"/><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finanzalocale.interno.it/docum/studi/varie/testounico267-2000.pdf"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hyperlink" Target="http://home.ilfisco.it/perl/fol.pl?log-ckey=%2412053988;cmd-doc=390685" TargetMode="External"/><Relationship Id="rId30" Type="http://schemas.openxmlformats.org/officeDocument/2006/relationships/image" Target="media/image10.wmf"/><Relationship Id="rId35" Type="http://schemas.openxmlformats.org/officeDocument/2006/relationships/package" Target="embeddings/Microsoft_Excel_Worksheet777.xlsx"/><Relationship Id="rId43" Type="http://schemas.openxmlformats.org/officeDocument/2006/relationships/oleObject" Target="embeddings/oleObject7.bin"/><Relationship Id="rId48" Type="http://schemas.openxmlformats.org/officeDocument/2006/relationships/image" Target="media/image19.wmf"/><Relationship Id="rId8" Type="http://schemas.openxmlformats.org/officeDocument/2006/relationships/hyperlink" Target="http://finanzalocale.interno.it/docum/studi/varie/testounico267-2000.pdf"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511</TotalTime>
  <Pages>36</Pages>
  <Words>7427</Words>
  <Characters>-32766</Characters>
  <Application>Microsoft Office Outlook</Application>
  <DocSecurity>0</DocSecurity>
  <Lines>0</Lines>
  <Paragraphs>0</Paragraphs>
  <ScaleCrop>false</ScaleCrop>
  <Company>EDK Editore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Mancini</dc:creator>
  <cp:keywords/>
  <dc:description/>
  <cp:lastModifiedBy>npiga</cp:lastModifiedBy>
  <cp:revision>64</cp:revision>
  <cp:lastPrinted>2016-04-27T07:21:00Z</cp:lastPrinted>
  <dcterms:created xsi:type="dcterms:W3CDTF">2016-04-26T07:27:00Z</dcterms:created>
  <dcterms:modified xsi:type="dcterms:W3CDTF">2017-02-01T11:09:00Z</dcterms:modified>
</cp:coreProperties>
</file>